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DFDFD" w14:textId="6039CE30" w:rsidR="007F12F7" w:rsidRDefault="00F9304C" w:rsidP="00C17578">
      <w:pPr>
        <w:jc w:val="center"/>
        <w:rPr>
          <w:rFonts w:asciiTheme="majorBidi" w:hAnsiTheme="majorBidi" w:cstheme="majorBidi"/>
          <w:b/>
          <w:bCs/>
          <w:sz w:val="24"/>
          <w:szCs w:val="24"/>
          <w:u w:val="single"/>
          <w:lang w:val="en-US"/>
        </w:rPr>
      </w:pPr>
      <w:r>
        <w:rPr>
          <w:noProof/>
          <w:lang w:val="en-US"/>
        </w:rPr>
        <w:drawing>
          <wp:anchor distT="0" distB="0" distL="114300" distR="114300" simplePos="0" relativeHeight="251659264" behindDoc="1" locked="0" layoutInCell="1" allowOverlap="1" wp14:anchorId="24A802D9" wp14:editId="34B2921C">
            <wp:simplePos x="0" y="0"/>
            <wp:positionH relativeFrom="margin">
              <wp:align>center</wp:align>
            </wp:positionH>
            <wp:positionV relativeFrom="paragraph">
              <wp:posOffset>9525</wp:posOffset>
            </wp:positionV>
            <wp:extent cx="1781175" cy="1619250"/>
            <wp:effectExtent l="0" t="0" r="9525" b="0"/>
            <wp:wrapThrough wrapText="bothSides">
              <wp:wrapPolygon edited="0">
                <wp:start x="0" y="0"/>
                <wp:lineTo x="0" y="21346"/>
                <wp:lineTo x="21484" y="21346"/>
                <wp:lineTo x="21484" y="0"/>
                <wp:lineTo x="0" y="0"/>
              </wp:wrapPolygon>
            </wp:wrapThrough>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1175" cy="1619250"/>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6E6EC96F" w14:textId="77777777" w:rsidR="00F9304C" w:rsidRDefault="00F9304C" w:rsidP="0042795E">
      <w:pPr>
        <w:spacing w:after="0"/>
        <w:jc w:val="center"/>
        <w:rPr>
          <w:rFonts w:asciiTheme="majorBidi" w:hAnsiTheme="majorBidi" w:cstheme="majorBidi"/>
          <w:b/>
          <w:bCs/>
          <w:sz w:val="24"/>
          <w:szCs w:val="24"/>
          <w:u w:val="single"/>
          <w:lang w:val="fr-FR"/>
        </w:rPr>
      </w:pPr>
    </w:p>
    <w:p w14:paraId="4CCB4BD5" w14:textId="77777777" w:rsidR="00F9304C" w:rsidRDefault="00F9304C" w:rsidP="0042795E">
      <w:pPr>
        <w:spacing w:after="0"/>
        <w:jc w:val="center"/>
        <w:rPr>
          <w:rFonts w:asciiTheme="majorBidi" w:hAnsiTheme="majorBidi" w:cstheme="majorBidi"/>
          <w:b/>
          <w:bCs/>
          <w:sz w:val="24"/>
          <w:szCs w:val="24"/>
          <w:u w:val="single"/>
          <w:lang w:val="fr-FR"/>
        </w:rPr>
      </w:pPr>
    </w:p>
    <w:p w14:paraId="782EB785" w14:textId="77777777" w:rsidR="00F9304C" w:rsidRDefault="00F9304C" w:rsidP="0042795E">
      <w:pPr>
        <w:spacing w:after="0"/>
        <w:jc w:val="center"/>
        <w:rPr>
          <w:rFonts w:asciiTheme="majorBidi" w:hAnsiTheme="majorBidi" w:cstheme="majorBidi"/>
          <w:b/>
          <w:bCs/>
          <w:sz w:val="24"/>
          <w:szCs w:val="24"/>
          <w:u w:val="single"/>
          <w:lang w:val="fr-FR"/>
        </w:rPr>
      </w:pPr>
    </w:p>
    <w:p w14:paraId="3A0EDDB1" w14:textId="77777777" w:rsidR="00F9304C" w:rsidRDefault="00F9304C" w:rsidP="0042795E">
      <w:pPr>
        <w:spacing w:after="0"/>
        <w:jc w:val="center"/>
        <w:rPr>
          <w:rFonts w:asciiTheme="majorBidi" w:hAnsiTheme="majorBidi" w:cstheme="majorBidi"/>
          <w:b/>
          <w:bCs/>
          <w:sz w:val="24"/>
          <w:szCs w:val="24"/>
          <w:u w:val="single"/>
          <w:lang w:val="fr-FR"/>
        </w:rPr>
      </w:pPr>
    </w:p>
    <w:p w14:paraId="3F9D5C78" w14:textId="77777777" w:rsidR="00F9304C" w:rsidRDefault="00F9304C" w:rsidP="0042795E">
      <w:pPr>
        <w:spacing w:after="0"/>
        <w:jc w:val="center"/>
        <w:rPr>
          <w:rFonts w:asciiTheme="majorBidi" w:hAnsiTheme="majorBidi" w:cstheme="majorBidi"/>
          <w:b/>
          <w:bCs/>
          <w:sz w:val="24"/>
          <w:szCs w:val="24"/>
          <w:u w:val="single"/>
          <w:lang w:val="fr-FR"/>
        </w:rPr>
      </w:pPr>
    </w:p>
    <w:p w14:paraId="4D5C6601" w14:textId="77777777" w:rsidR="00F9304C" w:rsidRDefault="00F9304C" w:rsidP="0042795E">
      <w:pPr>
        <w:spacing w:after="0"/>
        <w:jc w:val="center"/>
        <w:rPr>
          <w:rFonts w:asciiTheme="majorBidi" w:hAnsiTheme="majorBidi" w:cstheme="majorBidi"/>
          <w:b/>
          <w:bCs/>
          <w:sz w:val="24"/>
          <w:szCs w:val="24"/>
          <w:u w:val="single"/>
          <w:lang w:val="fr-FR"/>
        </w:rPr>
      </w:pPr>
    </w:p>
    <w:p w14:paraId="6AD5DC00" w14:textId="77777777" w:rsidR="00F9304C" w:rsidRDefault="00F9304C" w:rsidP="0042795E">
      <w:pPr>
        <w:spacing w:after="0"/>
        <w:jc w:val="center"/>
        <w:rPr>
          <w:rFonts w:asciiTheme="majorBidi" w:hAnsiTheme="majorBidi" w:cstheme="majorBidi"/>
          <w:b/>
          <w:bCs/>
          <w:sz w:val="24"/>
          <w:szCs w:val="24"/>
          <w:u w:val="single"/>
          <w:lang w:val="fr-FR"/>
        </w:rPr>
      </w:pPr>
    </w:p>
    <w:p w14:paraId="452C23C2" w14:textId="77777777" w:rsidR="00F9304C" w:rsidRDefault="00F9304C" w:rsidP="0042795E">
      <w:pPr>
        <w:spacing w:after="0"/>
        <w:jc w:val="center"/>
        <w:rPr>
          <w:rFonts w:asciiTheme="majorBidi" w:hAnsiTheme="majorBidi" w:cstheme="majorBidi"/>
          <w:b/>
          <w:bCs/>
          <w:sz w:val="24"/>
          <w:szCs w:val="24"/>
          <w:u w:val="single"/>
          <w:lang w:val="fr-FR"/>
        </w:rPr>
      </w:pPr>
    </w:p>
    <w:p w14:paraId="3732F112" w14:textId="77777777" w:rsidR="00F9304C" w:rsidRDefault="00F9304C" w:rsidP="0042795E">
      <w:pPr>
        <w:spacing w:after="0"/>
        <w:jc w:val="center"/>
        <w:rPr>
          <w:rFonts w:asciiTheme="majorBidi" w:hAnsiTheme="majorBidi" w:cstheme="majorBidi"/>
          <w:b/>
          <w:bCs/>
          <w:sz w:val="24"/>
          <w:szCs w:val="24"/>
          <w:u w:val="single"/>
          <w:lang w:val="fr-FR"/>
        </w:rPr>
      </w:pPr>
    </w:p>
    <w:p w14:paraId="3C8BDF97" w14:textId="4964B2FA" w:rsidR="007F6C43" w:rsidRPr="0042795E" w:rsidRDefault="007F6C43" w:rsidP="0042795E">
      <w:pPr>
        <w:spacing w:after="0"/>
        <w:jc w:val="center"/>
        <w:rPr>
          <w:rFonts w:asciiTheme="majorBidi" w:hAnsiTheme="majorBidi" w:cstheme="majorBidi"/>
          <w:b/>
          <w:bCs/>
          <w:sz w:val="24"/>
          <w:szCs w:val="24"/>
          <w:u w:val="single"/>
          <w:lang w:val="fr-FR"/>
        </w:rPr>
      </w:pPr>
      <w:r w:rsidRPr="0042795E">
        <w:rPr>
          <w:rFonts w:asciiTheme="majorBidi" w:hAnsiTheme="majorBidi" w:cstheme="majorBidi"/>
          <w:b/>
          <w:bCs/>
          <w:sz w:val="24"/>
          <w:szCs w:val="24"/>
          <w:u w:val="single"/>
          <w:lang w:val="fr-FR"/>
        </w:rPr>
        <w:t>ORDRE DU JOUR PROVISOIRE ANNOTÉ:</w:t>
      </w:r>
    </w:p>
    <w:p w14:paraId="5D0D80C4" w14:textId="562C53C3" w:rsidR="007F6C43" w:rsidRPr="0042795E" w:rsidRDefault="007F6C43" w:rsidP="0042795E">
      <w:pPr>
        <w:spacing w:after="0"/>
        <w:jc w:val="center"/>
        <w:rPr>
          <w:rFonts w:asciiTheme="majorBidi" w:hAnsiTheme="majorBidi" w:cstheme="majorBidi"/>
          <w:b/>
          <w:bCs/>
          <w:sz w:val="24"/>
          <w:szCs w:val="24"/>
          <w:u w:val="single"/>
          <w:lang w:val="fr-FR"/>
        </w:rPr>
      </w:pPr>
      <w:r w:rsidRPr="0042795E">
        <w:rPr>
          <w:rFonts w:asciiTheme="majorBidi" w:hAnsiTheme="majorBidi" w:cstheme="majorBidi"/>
          <w:b/>
          <w:bCs/>
          <w:sz w:val="24"/>
          <w:szCs w:val="24"/>
          <w:u w:val="single"/>
          <w:lang w:val="fr-FR"/>
        </w:rPr>
        <w:t>LA 3ÈME ASSEMBLÉE GÉNÉRALE DE L'</w:t>
      </w:r>
      <w:r>
        <w:rPr>
          <w:rFonts w:asciiTheme="majorBidi" w:hAnsiTheme="majorBidi" w:cstheme="majorBidi"/>
          <w:b/>
          <w:bCs/>
          <w:sz w:val="24"/>
          <w:szCs w:val="24"/>
          <w:u w:val="single"/>
          <w:lang w:val="fr-FR"/>
        </w:rPr>
        <w:t>OISA</w:t>
      </w:r>
      <w:r w:rsidRPr="0042795E">
        <w:rPr>
          <w:rFonts w:asciiTheme="majorBidi" w:hAnsiTheme="majorBidi" w:cstheme="majorBidi"/>
          <w:b/>
          <w:bCs/>
          <w:sz w:val="24"/>
          <w:szCs w:val="24"/>
          <w:u w:val="single"/>
          <w:lang w:val="fr-FR"/>
        </w:rPr>
        <w:t xml:space="preserve"> -</w:t>
      </w:r>
    </w:p>
    <w:p w14:paraId="5DE4C381" w14:textId="7DA6678A" w:rsidR="00C17578" w:rsidRPr="0042795E" w:rsidRDefault="007F6C43" w:rsidP="0042795E">
      <w:pPr>
        <w:spacing w:after="0"/>
        <w:jc w:val="center"/>
        <w:rPr>
          <w:rFonts w:asciiTheme="majorBidi" w:hAnsiTheme="majorBidi" w:cstheme="majorBidi"/>
          <w:b/>
          <w:bCs/>
          <w:sz w:val="24"/>
          <w:szCs w:val="24"/>
          <w:u w:val="single"/>
          <w:lang w:val="fr-FR"/>
        </w:rPr>
      </w:pPr>
      <w:r w:rsidRPr="0042795E">
        <w:rPr>
          <w:rFonts w:asciiTheme="majorBidi" w:hAnsiTheme="majorBidi" w:cstheme="majorBidi"/>
          <w:b/>
          <w:bCs/>
          <w:sz w:val="24"/>
          <w:szCs w:val="24"/>
          <w:u w:val="single"/>
          <w:lang w:val="fr-FR"/>
        </w:rPr>
        <w:t>TURQUIE, LES 2-3 DÉCEMBRE 2020 (EN LIGNE)</w:t>
      </w:r>
    </w:p>
    <w:p w14:paraId="0360E767" w14:textId="77DA504E" w:rsidR="00C17578" w:rsidRPr="0042795E" w:rsidRDefault="00C17578" w:rsidP="00C17578">
      <w:pPr>
        <w:rPr>
          <w:rFonts w:asciiTheme="majorBidi" w:hAnsiTheme="majorBidi" w:cstheme="majorBidi"/>
          <w:sz w:val="24"/>
          <w:szCs w:val="24"/>
          <w:lang w:val="fr-FR"/>
        </w:rPr>
      </w:pPr>
    </w:p>
    <w:p w14:paraId="6442102A" w14:textId="0CB24989" w:rsidR="007E1EAC" w:rsidRPr="0042795E" w:rsidRDefault="007F6C43" w:rsidP="009E118B">
      <w:pPr>
        <w:pStyle w:val="a3"/>
        <w:numPr>
          <w:ilvl w:val="0"/>
          <w:numId w:val="2"/>
        </w:numPr>
        <w:spacing w:before="120" w:after="120"/>
        <w:ind w:left="567" w:hanging="567"/>
        <w:contextualSpacing w:val="0"/>
        <w:rPr>
          <w:rFonts w:asciiTheme="majorBidi" w:hAnsiTheme="majorBidi" w:cstheme="majorBidi"/>
          <w:b/>
          <w:bCs/>
          <w:sz w:val="24"/>
          <w:szCs w:val="24"/>
          <w:lang w:val="fr-FR"/>
        </w:rPr>
      </w:pPr>
      <w:r w:rsidRPr="0042795E">
        <w:rPr>
          <w:rFonts w:asciiTheme="majorBidi" w:hAnsiTheme="majorBidi" w:cstheme="majorBidi"/>
          <w:b/>
          <w:bCs/>
          <w:sz w:val="24"/>
          <w:szCs w:val="24"/>
          <w:lang w:val="fr-FR"/>
        </w:rPr>
        <w:t xml:space="preserve">Adhésion, questions administratives et financières (budget, mobilisation des ressources, Comité de contrôle financier, </w:t>
      </w:r>
      <w:r w:rsidR="008D4666" w:rsidRPr="0042795E">
        <w:rPr>
          <w:rFonts w:asciiTheme="majorBidi" w:hAnsiTheme="majorBidi" w:cstheme="majorBidi"/>
          <w:b/>
          <w:bCs/>
          <w:sz w:val="24"/>
          <w:szCs w:val="24"/>
          <w:lang w:val="fr-FR"/>
        </w:rPr>
        <w:t>Mémorandums</w:t>
      </w:r>
      <w:r w:rsidRPr="0042795E">
        <w:rPr>
          <w:rFonts w:asciiTheme="majorBidi" w:hAnsiTheme="majorBidi" w:cstheme="majorBidi"/>
          <w:b/>
          <w:bCs/>
          <w:sz w:val="24"/>
          <w:szCs w:val="24"/>
          <w:lang w:val="fr-FR"/>
        </w:rPr>
        <w:t xml:space="preserve"> d'accord)</w:t>
      </w:r>
    </w:p>
    <w:p w14:paraId="13224894" w14:textId="2EBBB96E" w:rsidR="00C1287D" w:rsidRPr="0042795E" w:rsidRDefault="00A768A9" w:rsidP="00C1287D">
      <w:pPr>
        <w:pStyle w:val="a3"/>
        <w:numPr>
          <w:ilvl w:val="0"/>
          <w:numId w:val="5"/>
        </w:numPr>
        <w:spacing w:before="120" w:after="120"/>
        <w:ind w:left="567" w:hanging="567"/>
        <w:contextualSpacing w:val="0"/>
        <w:jc w:val="both"/>
        <w:rPr>
          <w:rFonts w:asciiTheme="majorBidi" w:hAnsiTheme="majorBidi" w:cstheme="majorBidi"/>
          <w:b/>
          <w:bCs/>
          <w:i/>
          <w:iCs/>
          <w:sz w:val="24"/>
          <w:szCs w:val="24"/>
          <w:lang w:val="en-US"/>
        </w:rPr>
      </w:pPr>
      <w:r w:rsidRPr="0042795E">
        <w:rPr>
          <w:rFonts w:asciiTheme="majorBidi" w:hAnsiTheme="majorBidi" w:cstheme="majorBidi"/>
          <w:b/>
          <w:bCs/>
          <w:i/>
          <w:iCs/>
          <w:sz w:val="24"/>
          <w:szCs w:val="24"/>
          <w:lang w:val="fr-FR"/>
        </w:rPr>
        <w:t>Adhésion</w:t>
      </w:r>
      <w:r w:rsidRPr="0042795E" w:rsidDel="00A768A9">
        <w:rPr>
          <w:rFonts w:asciiTheme="majorBidi" w:hAnsiTheme="majorBidi" w:cstheme="majorBidi"/>
          <w:b/>
          <w:bCs/>
          <w:i/>
          <w:iCs/>
          <w:sz w:val="24"/>
          <w:szCs w:val="24"/>
          <w:lang w:val="en-US"/>
        </w:rPr>
        <w:t xml:space="preserve"> </w:t>
      </w:r>
    </w:p>
    <w:p w14:paraId="49649BD1" w14:textId="1B265D4A" w:rsidR="00FB0375" w:rsidRPr="0042795E" w:rsidRDefault="00A768A9" w:rsidP="0042795E">
      <w:pPr>
        <w:spacing w:before="120" w:after="120"/>
        <w:jc w:val="both"/>
        <w:rPr>
          <w:rFonts w:asciiTheme="majorBidi" w:hAnsiTheme="majorBidi" w:cstheme="majorBidi"/>
          <w:sz w:val="24"/>
          <w:szCs w:val="24"/>
          <w:lang w:val="fr-FR"/>
        </w:rPr>
      </w:pPr>
      <w:r w:rsidRPr="0042795E">
        <w:rPr>
          <w:rFonts w:asciiTheme="majorBidi" w:hAnsiTheme="majorBidi" w:cstheme="majorBidi"/>
          <w:sz w:val="24"/>
          <w:szCs w:val="24"/>
          <w:lang w:val="fr-FR"/>
        </w:rPr>
        <w:t>L'Assemblée Générale serait informée des efforts déployés pour obtenir davantage de signatures et de ratifications du Statut de l'OISA</w:t>
      </w:r>
      <w:r w:rsidR="008608C1" w:rsidRPr="0042795E">
        <w:rPr>
          <w:rFonts w:asciiTheme="majorBidi" w:hAnsiTheme="majorBidi" w:cstheme="majorBidi"/>
          <w:sz w:val="24"/>
          <w:szCs w:val="24"/>
          <w:lang w:val="fr-FR"/>
        </w:rPr>
        <w:t>.</w:t>
      </w:r>
    </w:p>
    <w:p w14:paraId="28739B76" w14:textId="4C603EA0" w:rsidR="0049365D" w:rsidRPr="0042795E" w:rsidRDefault="00A768A9" w:rsidP="0049365D">
      <w:pPr>
        <w:pStyle w:val="a3"/>
        <w:numPr>
          <w:ilvl w:val="0"/>
          <w:numId w:val="5"/>
        </w:numPr>
        <w:spacing w:before="120" w:after="120"/>
        <w:ind w:left="567" w:hanging="567"/>
        <w:contextualSpacing w:val="0"/>
        <w:jc w:val="both"/>
        <w:rPr>
          <w:rFonts w:asciiTheme="majorBidi" w:hAnsiTheme="majorBidi" w:cstheme="majorBidi"/>
          <w:b/>
          <w:bCs/>
          <w:i/>
          <w:iCs/>
          <w:sz w:val="24"/>
          <w:szCs w:val="24"/>
          <w:lang w:val="fr-FR"/>
        </w:rPr>
      </w:pPr>
      <w:r w:rsidRPr="0042795E">
        <w:rPr>
          <w:rFonts w:asciiTheme="majorBidi" w:hAnsiTheme="majorBidi" w:cstheme="majorBidi"/>
          <w:b/>
          <w:bCs/>
          <w:i/>
          <w:iCs/>
          <w:sz w:val="24"/>
          <w:szCs w:val="24"/>
          <w:lang w:val="fr-FR"/>
        </w:rPr>
        <w:t>Budget et mobilisation des ressources</w:t>
      </w:r>
      <w:r w:rsidRPr="0042795E" w:rsidDel="00A768A9">
        <w:rPr>
          <w:rFonts w:asciiTheme="majorBidi" w:hAnsiTheme="majorBidi" w:cstheme="majorBidi"/>
          <w:b/>
          <w:bCs/>
          <w:i/>
          <w:iCs/>
          <w:sz w:val="24"/>
          <w:szCs w:val="24"/>
          <w:lang w:val="fr-FR"/>
        </w:rPr>
        <w:t xml:space="preserve"> </w:t>
      </w:r>
    </w:p>
    <w:p w14:paraId="043B4B5E" w14:textId="6042D709" w:rsidR="0049365D" w:rsidRPr="0042795E" w:rsidRDefault="00B56D50" w:rsidP="0042795E">
      <w:pPr>
        <w:spacing w:before="120" w:after="120"/>
        <w:jc w:val="both"/>
        <w:rPr>
          <w:rFonts w:asciiTheme="majorBidi" w:hAnsiTheme="majorBidi" w:cstheme="majorBidi"/>
          <w:sz w:val="24"/>
          <w:szCs w:val="24"/>
          <w:lang w:val="fr-FR"/>
        </w:rPr>
      </w:pPr>
      <w:r w:rsidRPr="0042795E">
        <w:rPr>
          <w:rFonts w:asciiTheme="majorBidi" w:hAnsiTheme="majorBidi" w:cstheme="majorBidi"/>
          <w:sz w:val="24"/>
          <w:szCs w:val="24"/>
          <w:lang w:val="fr-FR"/>
        </w:rPr>
        <w:t>L'état financier du Secrétariat pour 2019 et 10 mois de 2020 serait présenté pour examen, y compris la formule révisée de calcul des contributions obligatoires par les États membres de l'OISA et le barème des contributions de l'OISA; prévisions budgétaires 2021, 2022, 2023; relevés de dépenses; et l'état du paiement des contributions obligatoires par les États membres. L'Assemblée Générale est invitée à approuver la révision des politiques internes, y compris le Règlement du personnel, le Règlement financier, entre autres, afin de rationaliser l'efficacité et l'approche axée sur les résultats de l'OISA</w:t>
      </w:r>
      <w:r w:rsidR="00E87DAA" w:rsidRPr="0042795E">
        <w:rPr>
          <w:rFonts w:asciiTheme="majorBidi" w:hAnsiTheme="majorBidi" w:cstheme="majorBidi"/>
          <w:sz w:val="24"/>
          <w:szCs w:val="24"/>
          <w:lang w:val="fr-FR"/>
        </w:rPr>
        <w:t>.</w:t>
      </w:r>
    </w:p>
    <w:p w14:paraId="78938352" w14:textId="63A6AFA8" w:rsidR="0049365D" w:rsidRPr="0049365D" w:rsidRDefault="00B56D50" w:rsidP="0049365D">
      <w:pPr>
        <w:pStyle w:val="a3"/>
        <w:numPr>
          <w:ilvl w:val="0"/>
          <w:numId w:val="5"/>
        </w:numPr>
        <w:spacing w:before="120" w:after="120"/>
        <w:ind w:left="567" w:hanging="567"/>
        <w:contextualSpacing w:val="0"/>
        <w:jc w:val="both"/>
        <w:rPr>
          <w:rFonts w:asciiTheme="majorBidi" w:hAnsiTheme="majorBidi" w:cstheme="majorBidi"/>
          <w:b/>
          <w:bCs/>
          <w:i/>
          <w:iCs/>
          <w:sz w:val="24"/>
          <w:szCs w:val="24"/>
          <w:lang w:val="en-US"/>
        </w:rPr>
      </w:pPr>
      <w:r w:rsidRPr="00B56D50">
        <w:rPr>
          <w:rFonts w:asciiTheme="majorBidi" w:hAnsiTheme="majorBidi" w:cstheme="majorBidi"/>
          <w:b/>
          <w:bCs/>
          <w:i/>
          <w:iCs/>
          <w:sz w:val="24"/>
          <w:szCs w:val="24"/>
          <w:lang w:val="en-US"/>
        </w:rPr>
        <w:t>Comité de contrôle financier</w:t>
      </w:r>
      <w:r w:rsidRPr="00B56D50" w:rsidDel="00B56D50">
        <w:rPr>
          <w:rFonts w:asciiTheme="majorBidi" w:hAnsiTheme="majorBidi" w:cstheme="majorBidi"/>
          <w:b/>
          <w:bCs/>
          <w:i/>
          <w:iCs/>
          <w:sz w:val="24"/>
          <w:szCs w:val="24"/>
          <w:lang w:val="en-US"/>
        </w:rPr>
        <w:t xml:space="preserve"> </w:t>
      </w:r>
    </w:p>
    <w:p w14:paraId="414C7E92" w14:textId="5191D03B" w:rsidR="0065253A" w:rsidRPr="0042795E" w:rsidRDefault="00B56D50" w:rsidP="0042795E">
      <w:pPr>
        <w:spacing w:before="120" w:after="120"/>
        <w:jc w:val="both"/>
        <w:rPr>
          <w:rFonts w:asciiTheme="majorBidi" w:hAnsiTheme="majorBidi" w:cstheme="majorBidi"/>
          <w:sz w:val="24"/>
          <w:szCs w:val="24"/>
          <w:lang w:val="fr-FR"/>
        </w:rPr>
      </w:pPr>
      <w:r w:rsidRPr="0042795E">
        <w:rPr>
          <w:rFonts w:asciiTheme="majorBidi" w:hAnsiTheme="majorBidi" w:cstheme="majorBidi"/>
          <w:sz w:val="24"/>
          <w:szCs w:val="24"/>
          <w:lang w:val="fr-FR"/>
        </w:rPr>
        <w:t>L'Assemblée Générale recevrait un Rapport du Conseil Exécutif sur la constitution du Comité de contrôle financier (CCF) de l'OISA les 11 et 12 décembre 2019 et approuverait la composition initial du CCF</w:t>
      </w:r>
      <w:r w:rsidR="001B3D71" w:rsidRPr="0042795E">
        <w:rPr>
          <w:rFonts w:asciiTheme="majorBidi" w:hAnsiTheme="majorBidi" w:cstheme="majorBidi"/>
          <w:sz w:val="24"/>
          <w:szCs w:val="24"/>
          <w:lang w:val="fr-FR"/>
        </w:rPr>
        <w:t xml:space="preserve">.  </w:t>
      </w:r>
      <w:r w:rsidR="009E118B" w:rsidRPr="0042795E">
        <w:rPr>
          <w:rFonts w:asciiTheme="majorBidi" w:hAnsiTheme="majorBidi" w:cstheme="majorBidi"/>
          <w:sz w:val="24"/>
          <w:szCs w:val="24"/>
          <w:lang w:val="fr-FR"/>
        </w:rPr>
        <w:t xml:space="preserve"> </w:t>
      </w:r>
    </w:p>
    <w:p w14:paraId="684BAFA1" w14:textId="0EA690F2" w:rsidR="0049365D" w:rsidRPr="0049365D" w:rsidRDefault="00B56D50" w:rsidP="0049365D">
      <w:pPr>
        <w:pStyle w:val="a3"/>
        <w:numPr>
          <w:ilvl w:val="0"/>
          <w:numId w:val="5"/>
        </w:numPr>
        <w:spacing w:before="120" w:after="120"/>
        <w:ind w:left="567" w:hanging="567"/>
        <w:contextualSpacing w:val="0"/>
        <w:jc w:val="both"/>
        <w:rPr>
          <w:rFonts w:asciiTheme="majorBidi" w:hAnsiTheme="majorBidi" w:cstheme="majorBidi"/>
          <w:b/>
          <w:bCs/>
          <w:i/>
          <w:iCs/>
          <w:sz w:val="24"/>
          <w:szCs w:val="24"/>
          <w:lang w:val="en-US"/>
        </w:rPr>
      </w:pPr>
      <w:r w:rsidRPr="00B56D50">
        <w:rPr>
          <w:rFonts w:asciiTheme="majorBidi" w:hAnsiTheme="majorBidi" w:cstheme="majorBidi"/>
          <w:b/>
          <w:bCs/>
          <w:i/>
          <w:iCs/>
          <w:sz w:val="24"/>
          <w:szCs w:val="24"/>
          <w:lang w:val="en-US"/>
        </w:rPr>
        <w:t>Mémorandums d’accord</w:t>
      </w:r>
      <w:r w:rsidRPr="00B56D50" w:rsidDel="00B56D50">
        <w:rPr>
          <w:rFonts w:asciiTheme="majorBidi" w:hAnsiTheme="majorBidi" w:cstheme="majorBidi"/>
          <w:b/>
          <w:bCs/>
          <w:i/>
          <w:iCs/>
          <w:sz w:val="24"/>
          <w:szCs w:val="24"/>
          <w:lang w:val="en-US"/>
        </w:rPr>
        <w:t xml:space="preserve"> </w:t>
      </w:r>
    </w:p>
    <w:p w14:paraId="58AE500B" w14:textId="547BFC00" w:rsidR="0049365D" w:rsidRPr="0042795E" w:rsidRDefault="008D4666" w:rsidP="0042795E">
      <w:pPr>
        <w:spacing w:before="120" w:after="120"/>
        <w:jc w:val="both"/>
        <w:rPr>
          <w:rFonts w:asciiTheme="majorBidi" w:hAnsiTheme="majorBidi" w:cstheme="majorBidi"/>
          <w:sz w:val="24"/>
          <w:szCs w:val="24"/>
          <w:lang w:val="fr-FR"/>
        </w:rPr>
      </w:pPr>
      <w:r w:rsidRPr="0042795E">
        <w:rPr>
          <w:rFonts w:asciiTheme="majorBidi" w:hAnsiTheme="majorBidi" w:cstheme="majorBidi"/>
          <w:sz w:val="24"/>
          <w:szCs w:val="24"/>
          <w:lang w:val="fr-FR"/>
        </w:rPr>
        <w:t>L'Assemblée Générale examinera et approuvera les mémorandums d'accord conclus antérieurement avec plusieurs institutions</w:t>
      </w:r>
      <w:r w:rsidRPr="0042795E" w:rsidDel="008D4666">
        <w:rPr>
          <w:rFonts w:asciiTheme="majorBidi" w:hAnsiTheme="majorBidi" w:cstheme="majorBidi"/>
          <w:sz w:val="24"/>
          <w:szCs w:val="24"/>
          <w:lang w:val="fr-FR"/>
        </w:rPr>
        <w:t xml:space="preserve"> </w:t>
      </w:r>
      <w:r w:rsidR="009E118B" w:rsidRPr="0042795E">
        <w:rPr>
          <w:rFonts w:asciiTheme="majorBidi" w:hAnsiTheme="majorBidi" w:cstheme="majorBidi"/>
          <w:sz w:val="24"/>
          <w:szCs w:val="24"/>
          <w:lang w:val="fr-FR"/>
        </w:rPr>
        <w:t>.</w:t>
      </w:r>
    </w:p>
    <w:p w14:paraId="175B3EAA" w14:textId="6ACFEC54" w:rsidR="008E4663" w:rsidRPr="00EA0FD0" w:rsidRDefault="008D4666" w:rsidP="00EA0FD0">
      <w:pPr>
        <w:pStyle w:val="a3"/>
        <w:numPr>
          <w:ilvl w:val="0"/>
          <w:numId w:val="2"/>
        </w:numPr>
        <w:spacing w:before="120" w:after="120"/>
        <w:ind w:left="567" w:hanging="567"/>
        <w:contextualSpacing w:val="0"/>
        <w:rPr>
          <w:rFonts w:asciiTheme="majorBidi" w:hAnsiTheme="majorBidi" w:cstheme="majorBidi"/>
          <w:b/>
          <w:bCs/>
          <w:i/>
          <w:iCs/>
          <w:sz w:val="24"/>
          <w:szCs w:val="24"/>
          <w:lang w:val="fr-FR"/>
        </w:rPr>
      </w:pPr>
      <w:r w:rsidRPr="0042795E">
        <w:rPr>
          <w:rFonts w:ascii="Times New Roman" w:eastAsia="Times New Roman" w:hAnsi="Times New Roman" w:cs="Times New Roman"/>
          <w:b/>
          <w:bCs/>
          <w:color w:val="000000"/>
          <w:sz w:val="24"/>
          <w:szCs w:val="24"/>
          <w:lang w:val="fr-FR" w:eastAsia="ru-RU" w:bidi="ar-DZ"/>
        </w:rPr>
        <w:t xml:space="preserve">Plan d'Action de l'OCI sur le développement des produits stratégiques (blé, manioc, riz, +…) </w:t>
      </w:r>
    </w:p>
    <w:p w14:paraId="6C83E5F2" w14:textId="511E47F1" w:rsidR="008E4663" w:rsidRPr="00DB5916" w:rsidRDefault="008D4666" w:rsidP="005868D7">
      <w:pPr>
        <w:pStyle w:val="a3"/>
        <w:numPr>
          <w:ilvl w:val="0"/>
          <w:numId w:val="9"/>
        </w:numPr>
        <w:spacing w:before="120" w:after="120" w:line="240" w:lineRule="auto"/>
        <w:ind w:left="567" w:hanging="567"/>
        <w:contextualSpacing w:val="0"/>
        <w:jc w:val="both"/>
        <w:rPr>
          <w:rFonts w:asciiTheme="majorBidi" w:hAnsiTheme="majorBidi" w:cstheme="majorBidi"/>
          <w:b/>
          <w:bCs/>
          <w:sz w:val="24"/>
          <w:szCs w:val="24"/>
          <w:lang w:val="fr-FR"/>
        </w:rPr>
      </w:pPr>
      <w:r w:rsidRPr="0042795E">
        <w:rPr>
          <w:rFonts w:ascii="Times New Roman" w:eastAsia="Times New Roman" w:hAnsi="Times New Roman" w:cs="Times New Roman"/>
          <w:b/>
          <w:bCs/>
          <w:i/>
          <w:iCs/>
          <w:color w:val="000000"/>
          <w:sz w:val="24"/>
          <w:szCs w:val="24"/>
          <w:lang w:val="fr-FR" w:eastAsia="ru-RU" w:bidi="ar-DZ"/>
        </w:rPr>
        <w:t>Establissement des Centres d’Excellence</w:t>
      </w:r>
      <w:r w:rsidRPr="00DB5916" w:rsidDel="008D4666">
        <w:rPr>
          <w:rFonts w:asciiTheme="majorBidi" w:hAnsiTheme="majorBidi" w:cstheme="majorBidi"/>
          <w:b/>
          <w:bCs/>
          <w:i/>
          <w:iCs/>
          <w:sz w:val="24"/>
          <w:szCs w:val="24"/>
          <w:lang w:val="fr-FR"/>
        </w:rPr>
        <w:t xml:space="preserve"> </w:t>
      </w:r>
    </w:p>
    <w:p w14:paraId="0F6A7AA6" w14:textId="77777777" w:rsidR="008D4666" w:rsidRPr="0042795E" w:rsidRDefault="008D4666" w:rsidP="0042795E">
      <w:pPr>
        <w:spacing w:before="120" w:after="120" w:line="240" w:lineRule="auto"/>
        <w:jc w:val="both"/>
        <w:rPr>
          <w:rFonts w:asciiTheme="majorBidi" w:hAnsiTheme="majorBidi" w:cstheme="majorBidi"/>
          <w:sz w:val="24"/>
          <w:szCs w:val="24"/>
          <w:lang w:val="fr-FR"/>
        </w:rPr>
      </w:pPr>
      <w:r w:rsidRPr="0042795E">
        <w:rPr>
          <w:rFonts w:asciiTheme="majorBidi" w:hAnsiTheme="majorBidi" w:cstheme="majorBidi"/>
          <w:sz w:val="24"/>
          <w:szCs w:val="24"/>
          <w:lang w:val="fr-FR"/>
        </w:rPr>
        <w:t>L'Assemblée Générale examinera et adoptera le Plan d'action de l'OCI pour le développement des produits stratégiques (blé, riz et manioc), qui décrira les principaux objectifs et les domaines d'intervention de la coopération intra-OCI. Les Etats membres de l'OCI ont déjà fourni leurs contributions au document et ces contributions ont été reflétées dans le nouveau document à être. Le Plan envisage des actions collectives pour le développement des capacités productives des Etats membres en ce qui concerne des produits stratégiques tels que le blé, le riz et le manioc.</w:t>
      </w:r>
    </w:p>
    <w:p w14:paraId="02EFEE8D" w14:textId="5DC63831" w:rsidR="008D4666" w:rsidRPr="0042795E" w:rsidRDefault="008D4666" w:rsidP="0042795E">
      <w:pPr>
        <w:spacing w:before="120" w:after="120" w:line="240" w:lineRule="auto"/>
        <w:jc w:val="both"/>
        <w:rPr>
          <w:rFonts w:asciiTheme="majorBidi" w:hAnsiTheme="majorBidi" w:cstheme="majorBidi"/>
          <w:sz w:val="24"/>
          <w:szCs w:val="24"/>
          <w:lang w:val="fr-FR"/>
        </w:rPr>
      </w:pPr>
      <w:r w:rsidRPr="0042795E">
        <w:rPr>
          <w:rFonts w:asciiTheme="majorBidi" w:hAnsiTheme="majorBidi" w:cstheme="majorBidi"/>
          <w:sz w:val="24"/>
          <w:szCs w:val="24"/>
          <w:lang w:val="fr-FR"/>
        </w:rPr>
        <w:lastRenderedPageBreak/>
        <w:t xml:space="preserve">En outre, l'Assemblée Générale examinera et approuvera la composition des Comités de Pilotage pour les trois produits stratégiques proposés ainsi que leurs Comités de projet. Il examinera et approuvera également certains Centres d’Excellence régionaux, qui aideront à mettre en œuvre des programmes de renforcement des capacités dans le cadre du Programme d’action approuvé de l’OCI pour les produits stratégiques. La BID et l'OISA ont défini les rôles de président et de secrétaire des </w:t>
      </w:r>
      <w:r w:rsidR="00B15BCA">
        <w:rPr>
          <w:rFonts w:asciiTheme="majorBidi" w:hAnsiTheme="majorBidi" w:cstheme="majorBidi"/>
          <w:sz w:val="24"/>
          <w:szCs w:val="24"/>
          <w:lang w:val="fr-FR"/>
        </w:rPr>
        <w:t>C</w:t>
      </w:r>
      <w:r w:rsidRPr="0042795E">
        <w:rPr>
          <w:rFonts w:asciiTheme="majorBidi" w:hAnsiTheme="majorBidi" w:cstheme="majorBidi"/>
          <w:sz w:val="24"/>
          <w:szCs w:val="24"/>
          <w:lang w:val="fr-FR"/>
        </w:rPr>
        <w:t>omités de projet respectivement.</w:t>
      </w:r>
    </w:p>
    <w:p w14:paraId="423A4C67" w14:textId="795904F5" w:rsidR="00237D89" w:rsidRPr="0042795E" w:rsidRDefault="008D4666" w:rsidP="002C7264">
      <w:pPr>
        <w:spacing w:before="120" w:after="120"/>
        <w:jc w:val="both"/>
        <w:rPr>
          <w:rFonts w:asciiTheme="majorBidi" w:hAnsiTheme="majorBidi" w:cstheme="majorBidi"/>
          <w:sz w:val="24"/>
          <w:szCs w:val="24"/>
          <w:lang w:val="fr-FR"/>
        </w:rPr>
      </w:pPr>
      <w:r w:rsidRPr="0042795E">
        <w:rPr>
          <w:rFonts w:asciiTheme="majorBidi" w:hAnsiTheme="majorBidi" w:cstheme="majorBidi"/>
          <w:sz w:val="24"/>
          <w:szCs w:val="24"/>
          <w:lang w:val="fr-FR"/>
        </w:rPr>
        <w:t>L'OISA devrait adopter des mécanismes de mise en œuvre pour ledit Plan d'action. À cet égard, l'OISA est invité à coordonner les activités des Comités de pilotage et de projet ainsi que des Centres d'Excellence, tout en adoptant le programme exécutif tel que présenté par le Secrétariat</w:t>
      </w:r>
      <w:r w:rsidR="00237D89" w:rsidRPr="0042795E">
        <w:rPr>
          <w:rFonts w:asciiTheme="majorBidi" w:hAnsiTheme="majorBidi" w:cstheme="majorBidi"/>
          <w:sz w:val="24"/>
          <w:szCs w:val="24"/>
          <w:lang w:val="fr-FR"/>
        </w:rPr>
        <w:t>.</w:t>
      </w:r>
    </w:p>
    <w:p w14:paraId="059F457B" w14:textId="698E0C61" w:rsidR="00D94D28" w:rsidRPr="0042795E" w:rsidRDefault="00D94D28" w:rsidP="005868D7">
      <w:pPr>
        <w:pStyle w:val="a3"/>
        <w:numPr>
          <w:ilvl w:val="0"/>
          <w:numId w:val="9"/>
        </w:numPr>
        <w:spacing w:before="120" w:after="120" w:line="240" w:lineRule="auto"/>
        <w:ind w:left="567" w:hanging="567"/>
        <w:contextualSpacing w:val="0"/>
        <w:jc w:val="both"/>
        <w:rPr>
          <w:rFonts w:asciiTheme="majorBidi" w:hAnsiTheme="majorBidi" w:cstheme="majorBidi"/>
          <w:b/>
          <w:bCs/>
          <w:i/>
          <w:iCs/>
          <w:sz w:val="24"/>
          <w:szCs w:val="24"/>
          <w:lang w:val="fr-FR"/>
        </w:rPr>
      </w:pPr>
      <w:r w:rsidRPr="0042795E">
        <w:rPr>
          <w:rFonts w:asciiTheme="majorBidi" w:hAnsiTheme="majorBidi" w:cstheme="majorBidi"/>
          <w:b/>
          <w:bCs/>
          <w:i/>
          <w:iCs/>
          <w:sz w:val="24"/>
          <w:szCs w:val="24"/>
          <w:lang w:val="fr-FR"/>
        </w:rPr>
        <w:t>D</w:t>
      </w:r>
      <w:r w:rsidR="00B15BCA" w:rsidRPr="0042795E">
        <w:rPr>
          <w:rFonts w:asciiTheme="majorBidi" w:hAnsiTheme="majorBidi" w:cstheme="majorBidi"/>
          <w:b/>
          <w:bCs/>
          <w:i/>
          <w:iCs/>
          <w:sz w:val="24"/>
          <w:szCs w:val="24"/>
          <w:lang w:val="fr-FR"/>
        </w:rPr>
        <w:t>é</w:t>
      </w:r>
      <w:r w:rsidRPr="0042795E">
        <w:rPr>
          <w:rFonts w:asciiTheme="majorBidi" w:hAnsiTheme="majorBidi" w:cstheme="majorBidi"/>
          <w:b/>
          <w:bCs/>
          <w:i/>
          <w:iCs/>
          <w:sz w:val="24"/>
          <w:szCs w:val="24"/>
          <w:lang w:val="fr-FR"/>
        </w:rPr>
        <w:t>velop</w:t>
      </w:r>
      <w:r w:rsidR="00B15BCA" w:rsidRPr="0042795E">
        <w:rPr>
          <w:rFonts w:asciiTheme="majorBidi" w:hAnsiTheme="majorBidi" w:cstheme="majorBidi"/>
          <w:b/>
          <w:bCs/>
          <w:i/>
          <w:iCs/>
          <w:sz w:val="24"/>
          <w:szCs w:val="24"/>
          <w:lang w:val="fr-FR"/>
        </w:rPr>
        <w:t>pe</w:t>
      </w:r>
      <w:r w:rsidRPr="0042795E">
        <w:rPr>
          <w:rFonts w:asciiTheme="majorBidi" w:hAnsiTheme="majorBidi" w:cstheme="majorBidi"/>
          <w:b/>
          <w:bCs/>
          <w:i/>
          <w:iCs/>
          <w:sz w:val="24"/>
          <w:szCs w:val="24"/>
          <w:lang w:val="fr-FR"/>
        </w:rPr>
        <w:t xml:space="preserve">ment </w:t>
      </w:r>
      <w:r w:rsidR="00B15BCA" w:rsidRPr="0042795E">
        <w:rPr>
          <w:rFonts w:asciiTheme="majorBidi" w:hAnsiTheme="majorBidi" w:cstheme="majorBidi"/>
          <w:b/>
          <w:bCs/>
          <w:i/>
          <w:iCs/>
          <w:sz w:val="24"/>
          <w:szCs w:val="24"/>
          <w:lang w:val="fr-FR"/>
        </w:rPr>
        <w:t>de l’Huile de p</w:t>
      </w:r>
      <w:r w:rsidR="00B15BCA">
        <w:rPr>
          <w:rFonts w:asciiTheme="majorBidi" w:hAnsiTheme="majorBidi" w:cstheme="majorBidi"/>
          <w:b/>
          <w:bCs/>
          <w:i/>
          <w:iCs/>
          <w:sz w:val="24"/>
          <w:szCs w:val="24"/>
          <w:lang w:val="fr-FR"/>
        </w:rPr>
        <w:t>alme</w:t>
      </w:r>
    </w:p>
    <w:p w14:paraId="4A392F56" w14:textId="4FD5D39A" w:rsidR="00D94D28" w:rsidRPr="0042795E" w:rsidRDefault="00B15BCA" w:rsidP="0042795E">
      <w:pPr>
        <w:spacing w:before="120" w:after="120"/>
        <w:jc w:val="both"/>
        <w:rPr>
          <w:rFonts w:asciiTheme="majorBidi" w:hAnsiTheme="majorBidi" w:cstheme="majorBidi"/>
          <w:sz w:val="24"/>
          <w:szCs w:val="24"/>
          <w:lang w:val="fr-FR"/>
        </w:rPr>
      </w:pPr>
      <w:r w:rsidRPr="0042795E">
        <w:rPr>
          <w:rFonts w:asciiTheme="majorBidi" w:hAnsiTheme="majorBidi" w:cstheme="majorBidi"/>
          <w:sz w:val="24"/>
          <w:szCs w:val="24"/>
          <w:lang w:val="fr-FR"/>
        </w:rPr>
        <w:t>De même, l'Assemblée Générale recevrait une Note conceptuelle sur la promotion du développement de la chaîne de valeur de l'huile de palme avec la mise en place des mêmes mécanismes proposés pour le développement des produits stratégiques ci-dessus, en particulier pour concevoir les compositions du Comité de Pilotage et des Centres d'Excellence pour Huile de palme</w:t>
      </w:r>
      <w:r w:rsidR="00D94D28" w:rsidRPr="0042795E">
        <w:rPr>
          <w:rFonts w:asciiTheme="majorBidi" w:hAnsiTheme="majorBidi" w:cstheme="majorBidi"/>
          <w:sz w:val="24"/>
          <w:szCs w:val="24"/>
          <w:lang w:val="fr-FR"/>
        </w:rPr>
        <w:t xml:space="preserve">.  </w:t>
      </w:r>
    </w:p>
    <w:p w14:paraId="300F8404" w14:textId="485CCEAB" w:rsidR="005868D7" w:rsidRPr="0042795E" w:rsidRDefault="00B15BCA" w:rsidP="005868D7">
      <w:pPr>
        <w:pStyle w:val="a3"/>
        <w:numPr>
          <w:ilvl w:val="0"/>
          <w:numId w:val="2"/>
        </w:numPr>
        <w:spacing w:before="120" w:after="120"/>
        <w:ind w:left="567" w:hanging="567"/>
        <w:contextualSpacing w:val="0"/>
        <w:rPr>
          <w:rFonts w:asciiTheme="majorBidi" w:hAnsiTheme="majorBidi" w:cstheme="majorBidi"/>
          <w:b/>
          <w:bCs/>
          <w:sz w:val="24"/>
          <w:szCs w:val="24"/>
          <w:lang w:val="fr-FR"/>
        </w:rPr>
      </w:pPr>
      <w:r>
        <w:rPr>
          <w:rFonts w:asciiTheme="majorBidi" w:hAnsiTheme="majorBidi" w:cstheme="majorBidi"/>
          <w:b/>
          <w:bCs/>
          <w:sz w:val="24"/>
          <w:szCs w:val="24"/>
          <w:lang w:val="fr-FR"/>
        </w:rPr>
        <w:t xml:space="preserve">Etablissament </w:t>
      </w:r>
      <w:r w:rsidRPr="0042795E">
        <w:rPr>
          <w:rFonts w:asciiTheme="majorBidi" w:hAnsiTheme="majorBidi" w:cstheme="majorBidi"/>
          <w:b/>
          <w:bCs/>
          <w:sz w:val="24"/>
          <w:szCs w:val="24"/>
          <w:lang w:val="fr-FR"/>
        </w:rPr>
        <w:t>de la Réserve de sécurité alimentaire de l'OCI</w:t>
      </w:r>
      <w:r w:rsidRPr="0042795E" w:rsidDel="00B15BCA">
        <w:rPr>
          <w:rFonts w:asciiTheme="majorBidi" w:hAnsiTheme="majorBidi" w:cstheme="majorBidi"/>
          <w:b/>
          <w:bCs/>
          <w:sz w:val="24"/>
          <w:szCs w:val="24"/>
          <w:lang w:val="fr-FR"/>
        </w:rPr>
        <w:t xml:space="preserve"> </w:t>
      </w:r>
    </w:p>
    <w:p w14:paraId="25E848B2" w14:textId="2B715F8C" w:rsidR="005868D7" w:rsidRPr="0042795E" w:rsidRDefault="00B15BCA" w:rsidP="0042795E">
      <w:pPr>
        <w:pStyle w:val="a3"/>
        <w:numPr>
          <w:ilvl w:val="0"/>
          <w:numId w:val="16"/>
        </w:numPr>
        <w:spacing w:before="120" w:after="120"/>
        <w:ind w:left="567" w:hanging="567"/>
        <w:rPr>
          <w:rFonts w:asciiTheme="majorBidi" w:hAnsiTheme="majorBidi" w:cstheme="majorBidi"/>
          <w:b/>
          <w:bCs/>
          <w:i/>
          <w:iCs/>
          <w:sz w:val="24"/>
          <w:szCs w:val="24"/>
          <w:lang w:val="fr-FR"/>
        </w:rPr>
      </w:pPr>
      <w:r w:rsidRPr="0042795E">
        <w:rPr>
          <w:rFonts w:asciiTheme="majorBidi" w:hAnsiTheme="majorBidi" w:cstheme="majorBidi"/>
          <w:b/>
          <w:bCs/>
          <w:i/>
          <w:iCs/>
          <w:sz w:val="24"/>
          <w:szCs w:val="24"/>
          <w:lang w:val="fr-FR"/>
        </w:rPr>
        <w:t>Révision du Protocole sur les Réserves alimentaires de l'OCI</w:t>
      </w:r>
      <w:r w:rsidRPr="0042795E" w:rsidDel="00B15BCA">
        <w:rPr>
          <w:rFonts w:asciiTheme="majorBidi" w:hAnsiTheme="majorBidi" w:cstheme="majorBidi"/>
          <w:b/>
          <w:bCs/>
          <w:i/>
          <w:iCs/>
          <w:sz w:val="24"/>
          <w:szCs w:val="24"/>
          <w:lang w:val="fr-FR"/>
        </w:rPr>
        <w:t xml:space="preserve"> </w:t>
      </w:r>
    </w:p>
    <w:p w14:paraId="79A28E79" w14:textId="315E863D" w:rsidR="00FD2F55" w:rsidRDefault="000B1666" w:rsidP="005868D7">
      <w:pPr>
        <w:jc w:val="both"/>
        <w:rPr>
          <w:rFonts w:asciiTheme="majorBidi" w:hAnsiTheme="majorBidi" w:cstheme="majorBidi"/>
          <w:sz w:val="24"/>
          <w:szCs w:val="24"/>
          <w:lang w:val="fr-FR"/>
        </w:rPr>
      </w:pPr>
      <w:r w:rsidRPr="000B1666">
        <w:rPr>
          <w:rFonts w:asciiTheme="majorBidi" w:hAnsiTheme="majorBidi" w:cstheme="majorBidi"/>
          <w:sz w:val="24"/>
          <w:szCs w:val="24"/>
          <w:lang w:val="fr-FR"/>
        </w:rPr>
        <w:t>Le but principal de la création des FSR est de faciliter l'accès à la nourriture dans les États membres de l'OCI à travers la coordination des politiques nationales de stock alimentaire et de réserve alimentaire nationale pour un approvisionnement garanti à la population pendant la période de pénurie alimentaire et surveillera également la situation de la sécurité alimentaire des États membres</w:t>
      </w:r>
      <w:r>
        <w:rPr>
          <w:rFonts w:asciiTheme="majorBidi" w:hAnsiTheme="majorBidi" w:cstheme="majorBidi"/>
          <w:sz w:val="24"/>
          <w:szCs w:val="24"/>
          <w:lang w:val="fr-FR"/>
        </w:rPr>
        <w:t>.</w:t>
      </w:r>
    </w:p>
    <w:p w14:paraId="1250A8DB" w14:textId="62E4E004" w:rsidR="000B1666" w:rsidRPr="0042795E" w:rsidRDefault="000B1666" w:rsidP="005868D7">
      <w:pPr>
        <w:jc w:val="both"/>
        <w:rPr>
          <w:rFonts w:asciiTheme="majorBidi" w:hAnsiTheme="majorBidi" w:cstheme="majorBidi"/>
          <w:sz w:val="24"/>
          <w:szCs w:val="24"/>
          <w:lang w:val="fr-FR"/>
        </w:rPr>
      </w:pPr>
      <w:r w:rsidRPr="000B1666">
        <w:rPr>
          <w:rFonts w:asciiTheme="majorBidi" w:hAnsiTheme="majorBidi" w:cstheme="majorBidi"/>
          <w:sz w:val="24"/>
          <w:szCs w:val="24"/>
          <w:lang w:val="fr-FR"/>
        </w:rPr>
        <w:t>Le Secrétariat de l'OISA, en collaboration avec le Secrétariat Général de l'OCI, a distribué le projet de Protocole des Réserves de sécurité alimentaire de l'OCI aux Etats membres et a obtenu leurs commentaires à ce sujet. Les commentaires généraux des États membres ont été liés à l'exigence d'une analyse détaillée, des conclusions élaborées et des solutions toutes faites qui est la nécessité d'une étude de faisabilité</w:t>
      </w:r>
      <w:r>
        <w:rPr>
          <w:rFonts w:asciiTheme="majorBidi" w:hAnsiTheme="majorBidi" w:cstheme="majorBidi"/>
          <w:sz w:val="24"/>
          <w:szCs w:val="24"/>
          <w:lang w:val="fr-FR"/>
        </w:rPr>
        <w:t>.</w:t>
      </w:r>
    </w:p>
    <w:p w14:paraId="4540EA1C" w14:textId="39923109" w:rsidR="008224EF" w:rsidRPr="0042795E" w:rsidRDefault="0042795E" w:rsidP="0042795E">
      <w:pPr>
        <w:pStyle w:val="a3"/>
        <w:numPr>
          <w:ilvl w:val="0"/>
          <w:numId w:val="16"/>
        </w:numPr>
        <w:spacing w:before="120" w:after="120"/>
        <w:ind w:left="567" w:hanging="567"/>
        <w:contextualSpacing w:val="0"/>
        <w:rPr>
          <w:rFonts w:asciiTheme="majorBidi" w:hAnsiTheme="majorBidi" w:cstheme="majorBidi"/>
          <w:b/>
          <w:bCs/>
          <w:sz w:val="24"/>
          <w:szCs w:val="24"/>
          <w:lang w:val="en-US"/>
        </w:rPr>
      </w:pPr>
      <w:r w:rsidRPr="0042795E">
        <w:rPr>
          <w:rFonts w:ascii="Times New Roman" w:eastAsia="Times New Roman" w:hAnsi="Times New Roman" w:cs="Times New Roman"/>
          <w:b/>
          <w:bCs/>
          <w:i/>
          <w:iCs/>
          <w:color w:val="000000"/>
          <w:sz w:val="24"/>
          <w:szCs w:val="24"/>
          <w:lang w:val="fr-FR" w:eastAsia="ru-RU"/>
        </w:rPr>
        <w:t>Structuration d’un Fonds céréalie</w:t>
      </w:r>
      <w:r>
        <w:rPr>
          <w:rFonts w:ascii="Times New Roman" w:eastAsia="Times New Roman" w:hAnsi="Times New Roman" w:cs="Times New Roman"/>
          <w:b/>
          <w:bCs/>
          <w:i/>
          <w:iCs/>
          <w:color w:val="000000"/>
          <w:sz w:val="24"/>
          <w:szCs w:val="24"/>
          <w:lang w:val="fr-FR" w:eastAsia="ru-RU"/>
        </w:rPr>
        <w:t>r</w:t>
      </w:r>
    </w:p>
    <w:p w14:paraId="233D1668" w14:textId="28447FFA" w:rsidR="00E87DAA" w:rsidRPr="0042795E" w:rsidRDefault="0042795E" w:rsidP="0042795E">
      <w:pPr>
        <w:jc w:val="both"/>
        <w:rPr>
          <w:rFonts w:asciiTheme="majorBidi" w:hAnsiTheme="majorBidi" w:cstheme="majorBidi"/>
          <w:sz w:val="24"/>
          <w:szCs w:val="24"/>
          <w:lang w:val="fr-FR"/>
        </w:rPr>
      </w:pPr>
      <w:r w:rsidRPr="0042795E">
        <w:rPr>
          <w:rFonts w:asciiTheme="majorBidi" w:hAnsiTheme="majorBidi" w:cstheme="majorBidi"/>
          <w:sz w:val="24"/>
          <w:szCs w:val="24"/>
          <w:lang w:val="fr-FR"/>
        </w:rPr>
        <w:t>Conformément à la Résolution N° IOFS / GA / 1-13-2019 adoptée par la 2ème Assemblée Générale, le Secrétariat de l'OISA a été demandé de commencer une étude de faisabilité sur le Fonds céréalier avec l'objectif principal d'assurer la sécurité alimentaire, en particulier dans les régions qui dépendent davantage de importations de céréales. Depuis lors, le concept du Fonds céréalier a été considérablement élargi et amélioré, en tenant compte des décisions précédemment adoptées sur le site de l'OCI (Résolutions adoptées aux 5e, 6e et 7e Conférences Ministérielles de l'OCI sur la Sécurité Alimentaire et le Développement Agricole). Le Fonds céréalier, faisant partie de la Réserve alimentaire, financera les pays membres de l'OCI sur la base des transactions à terme islamiques (Istijrar). Les revenus de cette activité seront dirigés vers la formation d'un fonds d'assurance Takaful pour les pays membres de l'OCI, et l'excédent pour la mise en œuvre de l'aide humanitaire. L'Assemblée générale est invitée à examiner la structure de fonctionnement proposée du Fonds céréalier</w:t>
      </w:r>
      <w:r w:rsidR="00A06A43" w:rsidRPr="0042795E">
        <w:rPr>
          <w:rFonts w:asciiTheme="majorBidi" w:hAnsiTheme="majorBidi" w:cstheme="majorBidi"/>
          <w:sz w:val="24"/>
          <w:szCs w:val="24"/>
          <w:lang w:val="fr-FR"/>
        </w:rPr>
        <w:t>.</w:t>
      </w:r>
      <w:r w:rsidR="00E87DAA" w:rsidRPr="0042795E">
        <w:rPr>
          <w:rFonts w:asciiTheme="majorBidi" w:hAnsiTheme="majorBidi" w:cstheme="majorBidi"/>
          <w:sz w:val="24"/>
          <w:szCs w:val="24"/>
          <w:lang w:val="fr-FR"/>
        </w:rPr>
        <w:br w:type="page"/>
      </w:r>
    </w:p>
    <w:p w14:paraId="40595CC7" w14:textId="09898E43" w:rsidR="00C17578" w:rsidRPr="0042795E" w:rsidRDefault="0042795E" w:rsidP="00FD2F55">
      <w:pPr>
        <w:pStyle w:val="a3"/>
        <w:numPr>
          <w:ilvl w:val="0"/>
          <w:numId w:val="2"/>
        </w:numPr>
        <w:spacing w:before="120" w:after="120"/>
        <w:ind w:left="567" w:hanging="567"/>
        <w:contextualSpacing w:val="0"/>
        <w:rPr>
          <w:rFonts w:asciiTheme="majorBidi" w:hAnsiTheme="majorBidi" w:cstheme="majorBidi"/>
          <w:b/>
          <w:bCs/>
          <w:sz w:val="24"/>
          <w:szCs w:val="24"/>
          <w:lang w:val="fr-FR"/>
        </w:rPr>
      </w:pPr>
      <w:r w:rsidRPr="0042795E">
        <w:rPr>
          <w:rFonts w:asciiTheme="majorBidi" w:hAnsiTheme="majorBidi" w:cstheme="majorBidi"/>
          <w:b/>
          <w:bCs/>
          <w:sz w:val="24"/>
          <w:szCs w:val="24"/>
          <w:lang w:val="fr-FR"/>
        </w:rPr>
        <w:lastRenderedPageBreak/>
        <w:t>Etablissement de l'Association Islamique de Transformation Alimentaire</w:t>
      </w:r>
    </w:p>
    <w:p w14:paraId="72DCB018" w14:textId="77777777" w:rsidR="0042795E" w:rsidRPr="007D5C97" w:rsidRDefault="0042795E" w:rsidP="0042795E">
      <w:pPr>
        <w:spacing w:before="120" w:after="120"/>
        <w:jc w:val="both"/>
        <w:rPr>
          <w:rFonts w:asciiTheme="majorBidi" w:hAnsiTheme="majorBidi" w:cstheme="majorBidi"/>
          <w:sz w:val="24"/>
          <w:szCs w:val="24"/>
          <w:lang w:val="fr-FR"/>
        </w:rPr>
      </w:pPr>
      <w:r w:rsidRPr="0042795E">
        <w:rPr>
          <w:rFonts w:asciiTheme="majorBidi" w:hAnsiTheme="majorBidi" w:cstheme="majorBidi"/>
          <w:sz w:val="24"/>
          <w:szCs w:val="24"/>
          <w:lang w:val="fr-FR"/>
        </w:rPr>
        <w:t xml:space="preserve">La nécessité de développer un mécanisme de transformation des aliments dirigé par le secteur privé au sein de l'espace de l'OISA a été adoptée par la 2e Assemblée Générale de l'OISA. Par conséquent, les vues des États membres de l'OCI ont été rassemblées pour examen par l'Assemblée Générale. </w:t>
      </w:r>
      <w:r w:rsidRPr="007D5C97">
        <w:rPr>
          <w:rFonts w:asciiTheme="majorBidi" w:hAnsiTheme="majorBidi" w:cstheme="majorBidi"/>
          <w:sz w:val="24"/>
          <w:szCs w:val="24"/>
          <w:lang w:val="fr-FR"/>
        </w:rPr>
        <w:t>Il est envisagé que la Session examine et approuve l'établissement de l'IFPA.</w:t>
      </w:r>
    </w:p>
    <w:p w14:paraId="76EE4526" w14:textId="175C736B" w:rsidR="00350F7B" w:rsidRPr="007D5C97" w:rsidRDefault="0042795E" w:rsidP="0042795E">
      <w:pPr>
        <w:spacing w:before="120" w:after="120"/>
        <w:jc w:val="both"/>
        <w:rPr>
          <w:rFonts w:asciiTheme="majorBidi" w:hAnsiTheme="majorBidi" w:cstheme="majorBidi"/>
          <w:sz w:val="24"/>
          <w:szCs w:val="24"/>
          <w:lang w:val="fr-FR"/>
        </w:rPr>
      </w:pPr>
      <w:r w:rsidRPr="007D5C97">
        <w:rPr>
          <w:rFonts w:asciiTheme="majorBidi" w:hAnsiTheme="majorBidi" w:cstheme="majorBidi"/>
          <w:sz w:val="24"/>
          <w:szCs w:val="24"/>
          <w:lang w:val="fr-FR"/>
        </w:rPr>
        <w:t>Afin de mener une étude de faisabilité complète et de haute qualité sur l'IFPA, des consultants internationaux renommés et respectueux ont été embauchés par le Secrétariat de l'OISA. En particulier, le cabinet de conseil DinarStandard (Dubaï, Émirats Arabes Unis), qui a déjà consulté diverses institutions de l'OCI et possède une solide expérience et une connaissance approfondie de l'industrie alimentaire de l'OCI, devrait représenter ses résultats sur une mission engagée. Ayant rappelé la Résolution N° IOFS / GA / 1-14-2019 adoptée par la 2ème Assemblée Générale de l'OISA et après s'être fondée sur une étude détaillée du consultant et réalisé la nécessité d'avoir une initiative orientée vers le secteur privé, l'Assemblée Générale est invitée à etablir l'IFPA entité</w:t>
      </w:r>
      <w:r w:rsidR="00A56BB3" w:rsidRPr="007D5C97">
        <w:rPr>
          <w:rFonts w:asciiTheme="majorBidi" w:hAnsiTheme="majorBidi" w:cstheme="majorBidi"/>
          <w:sz w:val="24"/>
          <w:szCs w:val="24"/>
          <w:lang w:val="fr-FR"/>
        </w:rPr>
        <w:t>.</w:t>
      </w:r>
    </w:p>
    <w:p w14:paraId="7D25F58E" w14:textId="042F0771" w:rsidR="00FD5B17" w:rsidRPr="007D5C97" w:rsidRDefault="007D5C97" w:rsidP="00FD5B17">
      <w:pPr>
        <w:pStyle w:val="a3"/>
        <w:numPr>
          <w:ilvl w:val="0"/>
          <w:numId w:val="2"/>
        </w:numPr>
        <w:spacing w:before="120" w:after="120"/>
        <w:ind w:left="567" w:hanging="567"/>
        <w:contextualSpacing w:val="0"/>
        <w:rPr>
          <w:rFonts w:asciiTheme="majorBidi" w:hAnsiTheme="majorBidi" w:cstheme="majorBidi"/>
          <w:sz w:val="24"/>
          <w:szCs w:val="24"/>
          <w:lang w:val="fr-FR"/>
        </w:rPr>
      </w:pPr>
      <w:r w:rsidRPr="007D5C97">
        <w:rPr>
          <w:rFonts w:asciiTheme="majorBidi" w:hAnsiTheme="majorBidi" w:cstheme="majorBidi"/>
          <w:b/>
          <w:bCs/>
          <w:sz w:val="24"/>
          <w:szCs w:val="24"/>
          <w:lang w:val="fr-FR"/>
        </w:rPr>
        <w:t>Gouvernance de la sécurité alimentaire</w:t>
      </w:r>
    </w:p>
    <w:p w14:paraId="024FB064" w14:textId="446627C2" w:rsidR="008608C1" w:rsidRPr="007D5C97" w:rsidRDefault="007D5C97" w:rsidP="00A30F47">
      <w:pPr>
        <w:spacing w:before="120" w:after="120"/>
        <w:jc w:val="both"/>
        <w:rPr>
          <w:rFonts w:asciiTheme="majorBidi" w:hAnsiTheme="majorBidi" w:cstheme="majorBidi"/>
          <w:sz w:val="24"/>
          <w:szCs w:val="24"/>
          <w:lang w:val="fr-FR"/>
        </w:rPr>
      </w:pPr>
      <w:r w:rsidRPr="007D5C97">
        <w:rPr>
          <w:rFonts w:asciiTheme="majorBidi" w:hAnsiTheme="majorBidi" w:cstheme="majorBidi"/>
          <w:sz w:val="24"/>
          <w:szCs w:val="24"/>
          <w:lang w:val="fr-FR"/>
        </w:rPr>
        <w:t>Une gouvernance nationale solide de la sécurité alimentaire est l'un des fondements de l'atténuation de la malnutrition alimentaire et joue un rôle crucial dans la réalisation des objectifs Faim Zéro dans la région de l'OCI. Il s'agit du domaine multisectoriel et à plusieurs niveaux de la gouvernance publique et nécessite une approche globale de la part des autorités étatiques. Heureusement, l'OCI a plusieurs États dotés d'une gouvernance nationale avancée de la sécurité alimentaire qui pourrait être partagée avec les États dotés de systèmes pauvres. Le Secrétariat de l'OISA lance ce programme international permettant une modalité commune à travers laquelle de bonnes expériences pourraient améliorer la gouvernance nationale de la sécurité alimentaire dans les États membres de l'OCI et l'Assemblée Générale est invitée à approuver le début du programme</w:t>
      </w:r>
      <w:r w:rsidR="00385C3F" w:rsidRPr="007D5C97">
        <w:rPr>
          <w:rFonts w:asciiTheme="majorBidi" w:hAnsiTheme="majorBidi" w:cstheme="majorBidi"/>
          <w:sz w:val="24"/>
          <w:szCs w:val="24"/>
          <w:lang w:val="fr-FR"/>
        </w:rPr>
        <w:t xml:space="preserve">. </w:t>
      </w:r>
      <w:r w:rsidR="00A30F47" w:rsidRPr="007D5C97">
        <w:rPr>
          <w:rFonts w:asciiTheme="majorBidi" w:hAnsiTheme="majorBidi" w:cstheme="majorBidi"/>
          <w:sz w:val="24"/>
          <w:szCs w:val="24"/>
          <w:lang w:val="fr-FR"/>
        </w:rPr>
        <w:t xml:space="preserve"> </w:t>
      </w:r>
    </w:p>
    <w:p w14:paraId="46564226" w14:textId="73671D62" w:rsidR="000E5739" w:rsidRPr="007D5C97" w:rsidRDefault="007D5C97" w:rsidP="000E5739">
      <w:pPr>
        <w:pStyle w:val="a3"/>
        <w:numPr>
          <w:ilvl w:val="0"/>
          <w:numId w:val="2"/>
        </w:numPr>
        <w:spacing w:before="120" w:after="120"/>
        <w:ind w:left="567" w:hanging="567"/>
        <w:contextualSpacing w:val="0"/>
        <w:rPr>
          <w:rFonts w:asciiTheme="majorBidi" w:hAnsiTheme="majorBidi" w:cstheme="majorBidi"/>
          <w:b/>
          <w:bCs/>
          <w:i/>
          <w:iCs/>
          <w:sz w:val="24"/>
          <w:szCs w:val="24"/>
          <w:lang w:val="fr-FR"/>
        </w:rPr>
      </w:pPr>
      <w:r w:rsidRPr="007D5C97">
        <w:rPr>
          <w:rFonts w:asciiTheme="majorBidi" w:hAnsiTheme="majorBidi" w:cstheme="majorBidi"/>
          <w:b/>
          <w:bCs/>
          <w:sz w:val="24"/>
          <w:szCs w:val="24"/>
          <w:lang w:val="fr-FR"/>
        </w:rPr>
        <w:t>Programmes de l'</w:t>
      </w:r>
      <w:r>
        <w:rPr>
          <w:rFonts w:asciiTheme="majorBidi" w:hAnsiTheme="majorBidi" w:cstheme="majorBidi"/>
          <w:b/>
          <w:bCs/>
          <w:sz w:val="24"/>
          <w:szCs w:val="24"/>
          <w:lang w:val="fr-FR"/>
        </w:rPr>
        <w:t>OISA</w:t>
      </w:r>
      <w:r w:rsidRPr="007D5C97">
        <w:rPr>
          <w:rFonts w:asciiTheme="majorBidi" w:hAnsiTheme="majorBidi" w:cstheme="majorBidi"/>
          <w:b/>
          <w:bCs/>
          <w:sz w:val="24"/>
          <w:szCs w:val="24"/>
          <w:lang w:val="fr-FR"/>
        </w:rPr>
        <w:t xml:space="preserve"> sur la science, la technologie et l'innovation</w:t>
      </w:r>
      <w:r w:rsidR="000E5739" w:rsidRPr="007D5C97">
        <w:rPr>
          <w:rFonts w:asciiTheme="majorBidi" w:hAnsiTheme="majorBidi" w:cstheme="majorBidi"/>
          <w:b/>
          <w:bCs/>
          <w:sz w:val="24"/>
          <w:szCs w:val="24"/>
          <w:lang w:val="fr-FR"/>
        </w:rPr>
        <w:t xml:space="preserve"> </w:t>
      </w:r>
    </w:p>
    <w:p w14:paraId="1E5E1C6F" w14:textId="5D4E602C" w:rsidR="00C17578" w:rsidRPr="007D5C97" w:rsidRDefault="007D5C97" w:rsidP="0020773F">
      <w:pPr>
        <w:pStyle w:val="a3"/>
        <w:numPr>
          <w:ilvl w:val="0"/>
          <w:numId w:val="3"/>
        </w:numPr>
        <w:spacing w:before="120" w:after="120"/>
        <w:ind w:left="567" w:hanging="567"/>
        <w:contextualSpacing w:val="0"/>
        <w:rPr>
          <w:rFonts w:asciiTheme="majorBidi" w:hAnsiTheme="majorBidi" w:cstheme="majorBidi"/>
          <w:b/>
          <w:bCs/>
          <w:i/>
          <w:iCs/>
          <w:sz w:val="24"/>
          <w:szCs w:val="24"/>
          <w:lang w:val="fr-FR"/>
        </w:rPr>
      </w:pPr>
      <w:r w:rsidRPr="007D5C97">
        <w:rPr>
          <w:rFonts w:asciiTheme="majorBidi" w:hAnsiTheme="majorBidi" w:cstheme="majorBidi"/>
          <w:b/>
          <w:bCs/>
          <w:i/>
          <w:iCs/>
          <w:sz w:val="24"/>
          <w:szCs w:val="24"/>
          <w:lang w:val="fr-FR"/>
        </w:rPr>
        <w:t xml:space="preserve">Développement des banques nationales de gènes (Agenda de l'OCI 2026 </w:t>
      </w:r>
      <w:r>
        <w:rPr>
          <w:rFonts w:asciiTheme="majorBidi" w:hAnsiTheme="majorBidi" w:cstheme="majorBidi"/>
          <w:b/>
          <w:bCs/>
          <w:i/>
          <w:iCs/>
          <w:sz w:val="24"/>
          <w:szCs w:val="24"/>
          <w:lang w:val="fr-FR"/>
        </w:rPr>
        <w:t xml:space="preserve">pour </w:t>
      </w:r>
      <w:r w:rsidRPr="007D5C97">
        <w:rPr>
          <w:rFonts w:asciiTheme="majorBidi" w:hAnsiTheme="majorBidi" w:cstheme="majorBidi"/>
          <w:b/>
          <w:bCs/>
          <w:i/>
          <w:iCs/>
          <w:sz w:val="24"/>
          <w:szCs w:val="24"/>
          <w:lang w:val="fr-FR"/>
        </w:rPr>
        <w:t>STI)</w:t>
      </w:r>
    </w:p>
    <w:p w14:paraId="37FEEB94" w14:textId="77777777" w:rsidR="007D5C97" w:rsidRPr="007D5C97" w:rsidRDefault="007D5C97" w:rsidP="007D5C97">
      <w:pPr>
        <w:spacing w:before="120" w:after="120"/>
        <w:jc w:val="both"/>
        <w:rPr>
          <w:rFonts w:asciiTheme="majorBidi" w:hAnsiTheme="majorBidi" w:cstheme="majorBidi"/>
          <w:sz w:val="24"/>
          <w:szCs w:val="24"/>
          <w:lang w:val="fr-FR"/>
        </w:rPr>
      </w:pPr>
      <w:r w:rsidRPr="007D5C97">
        <w:rPr>
          <w:rFonts w:asciiTheme="majorBidi" w:hAnsiTheme="majorBidi" w:cstheme="majorBidi"/>
          <w:sz w:val="24"/>
          <w:szCs w:val="24"/>
          <w:lang w:val="fr-FR"/>
        </w:rPr>
        <w:t>Le développement des banques nationales de gènes dans les États membres de l'OCI vise à promouvoir la coopération régionale pour la conservation, l'adaptation et le partage des ressources génétiques végétales et animales pour l'alimentation et l'agriculture. Le lien entre l'accès des pays et des agriculteurs à de nouvelles variétés de cultures résistantes aux ravageurs et à la sécheresse et à des systèmes de sécurité alimentaire durables ne saurait être surestimé.</w:t>
      </w:r>
    </w:p>
    <w:p w14:paraId="4899DC62" w14:textId="49A06A33" w:rsidR="00B85E2C" w:rsidRPr="007D5C97" w:rsidRDefault="007D5C97" w:rsidP="007D5C97">
      <w:pPr>
        <w:spacing w:before="120" w:after="120"/>
        <w:jc w:val="both"/>
        <w:rPr>
          <w:rFonts w:asciiTheme="majorBidi" w:hAnsiTheme="majorBidi" w:cstheme="majorBidi"/>
          <w:sz w:val="24"/>
          <w:szCs w:val="24"/>
          <w:lang w:val="fr-FR"/>
        </w:rPr>
      </w:pPr>
      <w:r w:rsidRPr="007D5C97">
        <w:rPr>
          <w:rFonts w:asciiTheme="majorBidi" w:hAnsiTheme="majorBidi" w:cstheme="majorBidi"/>
          <w:sz w:val="24"/>
          <w:szCs w:val="24"/>
          <w:lang w:val="fr-FR"/>
        </w:rPr>
        <w:t>En conséquence, l'Assemblée Générale est invitée à examiner les principaux documents finaux de l'Atelier sur le Développement des banques nationales de gènes, qui s'est déroulé en ligne (organisé techniquement par les Émirats Arabes Unis du 5 au 7 juillet 2020), et à exprimer sa gratitude au Gouvernement de EAU, FAO, COMSTECH et IsDB, qui ont collaboré avec le Secrétariat de l'OISA à cet égard. Sur la base des résultats dudit Atelier, l'Assemblée Générale est invitée à créer un Comité technique. Le Comité technique sera constitué d'États membres avancés dans la recherche et les ressources génétiques, et sera l'organe décisionnel pour le développement et la mise en œuvre des banques nationales de gènes</w:t>
      </w:r>
      <w:r w:rsidR="00907E61" w:rsidRPr="007D5C97">
        <w:rPr>
          <w:rFonts w:asciiTheme="majorBidi" w:hAnsiTheme="majorBidi" w:cstheme="majorBidi"/>
          <w:sz w:val="24"/>
          <w:szCs w:val="24"/>
          <w:lang w:val="fr-FR"/>
        </w:rPr>
        <w:t>.</w:t>
      </w:r>
    </w:p>
    <w:p w14:paraId="38F045C6" w14:textId="164604CD" w:rsidR="00CD43D7" w:rsidRPr="007D5C97" w:rsidRDefault="007D5C97" w:rsidP="00CD43D7">
      <w:pPr>
        <w:pStyle w:val="a3"/>
        <w:numPr>
          <w:ilvl w:val="0"/>
          <w:numId w:val="3"/>
        </w:numPr>
        <w:spacing w:before="120" w:after="120"/>
        <w:ind w:left="567" w:hanging="567"/>
        <w:contextualSpacing w:val="0"/>
        <w:rPr>
          <w:rFonts w:asciiTheme="majorBidi" w:hAnsiTheme="majorBidi" w:cstheme="majorBidi"/>
          <w:b/>
          <w:bCs/>
          <w:i/>
          <w:iCs/>
          <w:sz w:val="24"/>
          <w:szCs w:val="24"/>
          <w:lang w:val="fr-FR"/>
        </w:rPr>
      </w:pPr>
      <w:r w:rsidRPr="007D5C97">
        <w:rPr>
          <w:rFonts w:asciiTheme="majorBidi" w:hAnsiTheme="majorBidi" w:cstheme="majorBidi"/>
          <w:b/>
          <w:bCs/>
          <w:i/>
          <w:iCs/>
          <w:sz w:val="24"/>
          <w:szCs w:val="24"/>
          <w:lang w:val="fr-FR"/>
        </w:rPr>
        <w:t>Gestion de l'eau dans l'agriculture</w:t>
      </w:r>
    </w:p>
    <w:p w14:paraId="5BC84571" w14:textId="77777777" w:rsidR="007D5C97" w:rsidRPr="007D5C97" w:rsidRDefault="007D5C97" w:rsidP="007D5C97">
      <w:pPr>
        <w:spacing w:before="120" w:after="120"/>
        <w:jc w:val="both"/>
        <w:rPr>
          <w:rFonts w:asciiTheme="majorBidi" w:hAnsiTheme="majorBidi" w:cstheme="majorBidi"/>
          <w:sz w:val="24"/>
          <w:szCs w:val="24"/>
          <w:lang w:val="fr-FR"/>
        </w:rPr>
      </w:pPr>
      <w:r w:rsidRPr="007D5C97">
        <w:rPr>
          <w:rFonts w:asciiTheme="majorBidi" w:hAnsiTheme="majorBidi" w:cstheme="majorBidi"/>
          <w:sz w:val="24"/>
          <w:szCs w:val="24"/>
          <w:lang w:val="fr-FR"/>
        </w:rPr>
        <w:t>Le Secrétariat a élaboré la Note conceptuelle et préparera le Plan d'exécution du programme sur ce sujet. Compte tenu de la prévalence du climat aride et semi-aride dans les États membres de l'OCI, la conservation et la gestion efficace de l'eau dans l'agriculture sont cruciales pour la sécurité alimentaire et le développement rural et agricole. En conséquence, la coopération pour la gestion efficace de l'eau et l'adoption de systèmes d'irrigation modernes reçoit l'attention prioritaire des Etats membres de l'OCI.</w:t>
      </w:r>
    </w:p>
    <w:p w14:paraId="4196BBD9" w14:textId="2D1CE7FA" w:rsidR="00FA41BD" w:rsidRPr="007D5C97" w:rsidRDefault="007D5C97" w:rsidP="007D5C97">
      <w:pPr>
        <w:spacing w:before="120" w:after="120"/>
        <w:jc w:val="both"/>
        <w:rPr>
          <w:rFonts w:asciiTheme="majorBidi" w:hAnsiTheme="majorBidi" w:cstheme="majorBidi"/>
          <w:sz w:val="24"/>
          <w:szCs w:val="24"/>
          <w:highlight w:val="yellow"/>
          <w:lang w:val="fr-FR"/>
        </w:rPr>
      </w:pPr>
      <w:r w:rsidRPr="007D5C97">
        <w:rPr>
          <w:rFonts w:asciiTheme="majorBidi" w:hAnsiTheme="majorBidi" w:cstheme="majorBidi"/>
          <w:sz w:val="24"/>
          <w:szCs w:val="24"/>
          <w:lang w:val="fr-FR"/>
        </w:rPr>
        <w:lastRenderedPageBreak/>
        <w:t>L'Assemblée Générale est invitée à examiner la Note conceptuelle à la lumière des contributions reçues des États membres</w:t>
      </w:r>
      <w:r w:rsidR="00FA41BD" w:rsidRPr="007D5C97">
        <w:rPr>
          <w:rFonts w:asciiTheme="majorBidi" w:hAnsiTheme="majorBidi" w:cstheme="majorBidi"/>
          <w:sz w:val="24"/>
          <w:szCs w:val="24"/>
          <w:lang w:val="fr-FR"/>
        </w:rPr>
        <w:t>.</w:t>
      </w:r>
    </w:p>
    <w:p w14:paraId="60128CC5" w14:textId="7D2B1735" w:rsidR="000E5739" w:rsidRPr="007D5C97" w:rsidRDefault="007D5C97" w:rsidP="000E5739">
      <w:pPr>
        <w:pStyle w:val="a3"/>
        <w:numPr>
          <w:ilvl w:val="0"/>
          <w:numId w:val="3"/>
        </w:numPr>
        <w:spacing w:before="120" w:after="120"/>
        <w:ind w:left="567" w:hanging="567"/>
        <w:contextualSpacing w:val="0"/>
        <w:rPr>
          <w:rFonts w:asciiTheme="majorBidi" w:hAnsiTheme="majorBidi" w:cstheme="majorBidi"/>
          <w:b/>
          <w:bCs/>
          <w:i/>
          <w:iCs/>
          <w:sz w:val="24"/>
          <w:szCs w:val="24"/>
          <w:lang w:val="fr-FR"/>
        </w:rPr>
      </w:pPr>
      <w:r w:rsidRPr="007D5C97">
        <w:rPr>
          <w:rFonts w:ascii="Times New Roman" w:eastAsia="Times New Roman" w:hAnsi="Times New Roman" w:cs="Times New Roman"/>
          <w:b/>
          <w:bCs/>
          <w:i/>
          <w:iCs/>
          <w:color w:val="000000"/>
          <w:sz w:val="24"/>
          <w:szCs w:val="24"/>
          <w:lang w:val="fr-FR" w:eastAsia="ru-RU"/>
        </w:rPr>
        <w:t>Gestion transfrontalière de la lutte antiparasitaire</w:t>
      </w:r>
    </w:p>
    <w:p w14:paraId="03C6CF46" w14:textId="2F387B2C" w:rsidR="00385C3F" w:rsidRPr="007D5C97" w:rsidRDefault="007D5C97" w:rsidP="00385C3F">
      <w:pPr>
        <w:spacing w:before="120" w:after="120"/>
        <w:jc w:val="both"/>
        <w:rPr>
          <w:rFonts w:asciiTheme="majorBidi" w:hAnsiTheme="majorBidi" w:cstheme="majorBidi"/>
          <w:b/>
          <w:bCs/>
          <w:sz w:val="24"/>
          <w:szCs w:val="24"/>
          <w:lang w:val="fr-FR"/>
        </w:rPr>
      </w:pPr>
      <w:r w:rsidRPr="007D5C97">
        <w:rPr>
          <w:rFonts w:asciiTheme="majorBidi" w:hAnsiTheme="majorBidi" w:cstheme="majorBidi"/>
          <w:sz w:val="24"/>
          <w:szCs w:val="24"/>
          <w:lang w:val="fr-FR"/>
        </w:rPr>
        <w:t>Des cas récents d'invasion acridienne dans divers États membres de l'OCI ont montré la vulnérabilité de l'industrie agricole face à ce défi. Cette question montre que la communauté internationale, y compris les organisations multigouvernementales, devrait assumer le rôle de gestion de la lutte antiparasitaire au niveau transfrontière. La migration des ravageurs à l'étranger endommage des industries agricoles entières et conduit à l'insécurité alimentaire et au stress. L'Assemblée Générale est invitée à approuver le démarrage du programme et son opérationnalisation tout au long de 2021</w:t>
      </w:r>
      <w:r w:rsidR="00385C3F" w:rsidRPr="007D5C97">
        <w:rPr>
          <w:rFonts w:asciiTheme="majorBidi" w:hAnsiTheme="majorBidi" w:cstheme="majorBidi"/>
          <w:sz w:val="24"/>
          <w:szCs w:val="24"/>
          <w:lang w:val="fr-FR"/>
        </w:rPr>
        <w:t xml:space="preserve">.   </w:t>
      </w:r>
    </w:p>
    <w:p w14:paraId="734C1FFD" w14:textId="0B9911A9" w:rsidR="00237D89" w:rsidRPr="007D5C97" w:rsidRDefault="007D5C97" w:rsidP="00237D89">
      <w:pPr>
        <w:pStyle w:val="a3"/>
        <w:numPr>
          <w:ilvl w:val="0"/>
          <w:numId w:val="2"/>
        </w:numPr>
        <w:spacing w:before="120" w:after="120"/>
        <w:ind w:left="567" w:hanging="567"/>
        <w:contextualSpacing w:val="0"/>
        <w:rPr>
          <w:rFonts w:asciiTheme="majorBidi" w:hAnsiTheme="majorBidi" w:cstheme="majorBidi"/>
          <w:b/>
          <w:bCs/>
          <w:sz w:val="24"/>
          <w:szCs w:val="24"/>
          <w:lang w:val="fr-FR"/>
        </w:rPr>
      </w:pPr>
      <w:r w:rsidRPr="007D5C97">
        <w:rPr>
          <w:rFonts w:ascii="Times New Roman" w:eastAsia="Times New Roman" w:hAnsi="Times New Roman" w:cs="Times New Roman"/>
          <w:b/>
          <w:bCs/>
          <w:color w:val="000000"/>
          <w:sz w:val="24"/>
          <w:szCs w:val="24"/>
          <w:lang w:val="fr-FR" w:eastAsia="ru-RU"/>
        </w:rPr>
        <w:t>Promotion de la commerce agroalimentaire et de l'investissement</w:t>
      </w:r>
      <w:r w:rsidR="00237D89" w:rsidRPr="007D5C97">
        <w:rPr>
          <w:rFonts w:asciiTheme="majorBidi" w:hAnsiTheme="majorBidi" w:cstheme="majorBidi"/>
          <w:b/>
          <w:bCs/>
          <w:sz w:val="24"/>
          <w:szCs w:val="24"/>
          <w:lang w:val="fr-FR"/>
        </w:rPr>
        <w:t xml:space="preserve"> </w:t>
      </w:r>
    </w:p>
    <w:p w14:paraId="26D02A07" w14:textId="0F80C700" w:rsidR="00A13654" w:rsidRPr="006974B0" w:rsidRDefault="007D5C97" w:rsidP="00A13654">
      <w:pPr>
        <w:pStyle w:val="a3"/>
        <w:numPr>
          <w:ilvl w:val="0"/>
          <w:numId w:val="4"/>
        </w:numPr>
        <w:spacing w:before="120" w:after="120"/>
        <w:ind w:left="567" w:hanging="567"/>
        <w:contextualSpacing w:val="0"/>
        <w:rPr>
          <w:rFonts w:asciiTheme="majorBidi" w:hAnsiTheme="majorBidi" w:cstheme="majorBidi"/>
          <w:b/>
          <w:bCs/>
          <w:i/>
          <w:iCs/>
          <w:sz w:val="24"/>
          <w:szCs w:val="24"/>
          <w:lang w:val="fr-FR"/>
        </w:rPr>
      </w:pPr>
      <w:r w:rsidRPr="006974B0">
        <w:rPr>
          <w:rFonts w:ascii="Times New Roman" w:eastAsia="Times New Roman" w:hAnsi="Times New Roman" w:cs="Times New Roman"/>
          <w:b/>
          <w:bCs/>
          <w:i/>
          <w:iCs/>
          <w:color w:val="000000"/>
          <w:sz w:val="24"/>
          <w:szCs w:val="24"/>
          <w:lang w:val="fr-FR" w:eastAsia="ru-RU"/>
        </w:rPr>
        <w:t>Développement des secteurs alimentaires nationaux en coopération avec les agences publiques d'investissement</w:t>
      </w:r>
    </w:p>
    <w:p w14:paraId="2219A727" w14:textId="24715E12" w:rsidR="00C30EC0" w:rsidRPr="00D9784E" w:rsidRDefault="00D9784E" w:rsidP="00385C3F">
      <w:pPr>
        <w:spacing w:before="120" w:after="120"/>
        <w:jc w:val="both"/>
        <w:rPr>
          <w:rFonts w:asciiTheme="majorBidi" w:hAnsiTheme="majorBidi" w:cstheme="majorBidi"/>
          <w:b/>
          <w:bCs/>
          <w:i/>
          <w:iCs/>
          <w:sz w:val="24"/>
          <w:szCs w:val="24"/>
          <w:lang w:val="fr-FR"/>
        </w:rPr>
      </w:pPr>
      <w:r w:rsidRPr="00D9784E">
        <w:rPr>
          <w:rFonts w:asciiTheme="majorBidi" w:hAnsiTheme="majorBidi" w:cstheme="majorBidi"/>
          <w:sz w:val="24"/>
          <w:szCs w:val="24"/>
          <w:lang w:val="fr-FR"/>
        </w:rPr>
        <w:t>L'investissement est un élément crucial des relations économiques modernes dans l'industrie alimentaire et permet de mettre à l'échelle les systèmes alimentaires et les infrastructures de transformation des aliments et d'améliorer le bien-être de la société et joue un rôle clé dans les processus de mondialisation. L'investissement traduit sans aucun doute le développement et l'amélioration pour les États. Les nombreux États membres de l'OCI ont une agence d'État spéciale qui s'occupe de l'attraction des investissements directs étrangers, de la protection des investisseurs et de la création d'un régime ad hoc, du plaidoyer et de la médiation entre les gouvernements et les investisseurs. L'OISA lance un programme qui se concentrera principalement sur le développement du secteur alimentaire en coopération avec ces agences d'investissement. L'Assemblée Générale est invitée à approuver le démarrage du programme et son opérationnalisation tout au long de 2021</w:t>
      </w:r>
      <w:r w:rsidR="00C30EC0" w:rsidRPr="00D9784E">
        <w:rPr>
          <w:rFonts w:asciiTheme="majorBidi" w:hAnsiTheme="majorBidi" w:cstheme="majorBidi"/>
          <w:sz w:val="24"/>
          <w:szCs w:val="24"/>
          <w:lang w:val="fr-FR"/>
        </w:rPr>
        <w:t xml:space="preserve">.   </w:t>
      </w:r>
    </w:p>
    <w:p w14:paraId="37A901B4" w14:textId="68D439B4" w:rsidR="00D10290" w:rsidRPr="00D9784E" w:rsidRDefault="00D9784E" w:rsidP="00D10290">
      <w:pPr>
        <w:pStyle w:val="a3"/>
        <w:numPr>
          <w:ilvl w:val="0"/>
          <w:numId w:val="4"/>
        </w:numPr>
        <w:spacing w:before="120" w:after="120"/>
        <w:ind w:left="567" w:hanging="567"/>
        <w:contextualSpacing w:val="0"/>
        <w:rPr>
          <w:rFonts w:asciiTheme="majorBidi" w:hAnsiTheme="majorBidi" w:cstheme="majorBidi"/>
          <w:b/>
          <w:bCs/>
          <w:i/>
          <w:iCs/>
          <w:sz w:val="24"/>
          <w:szCs w:val="24"/>
          <w:lang w:val="fr-FR"/>
        </w:rPr>
      </w:pPr>
      <w:r w:rsidRPr="00D9784E">
        <w:rPr>
          <w:rFonts w:ascii="Times New Roman" w:eastAsia="Times New Roman" w:hAnsi="Times New Roman" w:cs="Times New Roman"/>
          <w:b/>
          <w:bCs/>
          <w:i/>
          <w:iCs/>
          <w:color w:val="000000"/>
          <w:sz w:val="24"/>
          <w:szCs w:val="24"/>
          <w:lang w:val="fr-FR" w:eastAsia="ru-RU"/>
        </w:rPr>
        <w:t>Sûreté alimentaire et développement des aliments Halal</w:t>
      </w:r>
      <w:r w:rsidR="002348AD" w:rsidRPr="00D9784E">
        <w:rPr>
          <w:rFonts w:asciiTheme="majorBidi" w:hAnsiTheme="majorBidi" w:cstheme="majorBidi"/>
          <w:b/>
          <w:bCs/>
          <w:i/>
          <w:iCs/>
          <w:sz w:val="24"/>
          <w:szCs w:val="24"/>
          <w:lang w:val="fr-FR"/>
        </w:rPr>
        <w:t xml:space="preserve"> </w:t>
      </w:r>
    </w:p>
    <w:p w14:paraId="60B6FADF" w14:textId="6A1BC3AF" w:rsidR="002348AD" w:rsidRPr="00D9784E" w:rsidRDefault="00D9784E" w:rsidP="004F5D15">
      <w:pPr>
        <w:spacing w:before="120" w:after="120"/>
        <w:jc w:val="both"/>
        <w:rPr>
          <w:rFonts w:asciiTheme="majorBidi" w:hAnsiTheme="majorBidi" w:cstheme="majorBidi"/>
          <w:sz w:val="24"/>
          <w:szCs w:val="24"/>
          <w:lang w:val="fr-FR"/>
        </w:rPr>
      </w:pPr>
      <w:r w:rsidRPr="00D9784E">
        <w:rPr>
          <w:rFonts w:asciiTheme="majorBidi" w:hAnsiTheme="majorBidi" w:cstheme="majorBidi"/>
          <w:sz w:val="24"/>
          <w:szCs w:val="24"/>
          <w:lang w:val="fr-FR"/>
        </w:rPr>
        <w:t>Le Secrétariat rendra compte des efforts visant à vulgariser le développement des aliments Halal dans les États membres de l'OISA à des fins d'utilisation intérieure et d'exportation. Il assurera la collaboration avec les institutions pertinentes de l'OCI, y compris le secteur privé et les industries agroalimentaires, sur l'adoption de régimes fiables de normalisation, d'accréditation et de certification</w:t>
      </w:r>
      <w:r w:rsidR="00D94D28" w:rsidRPr="00D9784E">
        <w:rPr>
          <w:rFonts w:asciiTheme="majorBidi" w:hAnsiTheme="majorBidi" w:cstheme="majorBidi"/>
          <w:sz w:val="24"/>
          <w:szCs w:val="24"/>
          <w:lang w:val="fr-FR"/>
        </w:rPr>
        <w:t>.</w:t>
      </w:r>
      <w:r w:rsidR="002348AD" w:rsidRPr="00D9784E">
        <w:rPr>
          <w:rFonts w:asciiTheme="majorBidi" w:hAnsiTheme="majorBidi" w:cstheme="majorBidi"/>
          <w:sz w:val="24"/>
          <w:szCs w:val="24"/>
          <w:lang w:val="fr-FR"/>
        </w:rPr>
        <w:t xml:space="preserve"> </w:t>
      </w:r>
    </w:p>
    <w:p w14:paraId="3BE6AB16" w14:textId="3D923258" w:rsidR="00A13654" w:rsidRPr="00D9784E" w:rsidRDefault="00D9784E" w:rsidP="00A13654">
      <w:pPr>
        <w:pStyle w:val="a3"/>
        <w:numPr>
          <w:ilvl w:val="0"/>
          <w:numId w:val="2"/>
        </w:numPr>
        <w:spacing w:before="120" w:after="120"/>
        <w:ind w:left="567" w:hanging="567"/>
        <w:contextualSpacing w:val="0"/>
        <w:rPr>
          <w:rFonts w:asciiTheme="majorBidi" w:hAnsiTheme="majorBidi" w:cstheme="majorBidi"/>
          <w:b/>
          <w:bCs/>
          <w:sz w:val="24"/>
          <w:szCs w:val="24"/>
          <w:lang w:val="en-US"/>
        </w:rPr>
      </w:pPr>
      <w:r w:rsidRPr="00D9784E">
        <w:rPr>
          <w:rFonts w:ascii="Times New Roman" w:eastAsia="Times New Roman" w:hAnsi="Times New Roman" w:cs="Times New Roman"/>
          <w:b/>
          <w:bCs/>
          <w:color w:val="000000"/>
          <w:sz w:val="24"/>
          <w:szCs w:val="24"/>
          <w:lang w:val="fr-FR" w:eastAsia="ru-RU"/>
        </w:rPr>
        <w:t>Programmes humanitaires alimentaires</w:t>
      </w:r>
    </w:p>
    <w:p w14:paraId="1B3E4D73" w14:textId="2353C4C6" w:rsidR="00A13654" w:rsidRPr="00D9784E" w:rsidRDefault="00D9784E" w:rsidP="00FD5B17">
      <w:pPr>
        <w:pStyle w:val="a3"/>
        <w:numPr>
          <w:ilvl w:val="0"/>
          <w:numId w:val="15"/>
        </w:numPr>
        <w:spacing w:before="120" w:after="120" w:line="257" w:lineRule="auto"/>
        <w:ind w:left="567" w:hanging="567"/>
        <w:contextualSpacing w:val="0"/>
        <w:rPr>
          <w:rFonts w:asciiTheme="majorBidi" w:hAnsiTheme="majorBidi" w:cstheme="majorBidi"/>
          <w:b/>
          <w:bCs/>
          <w:i/>
          <w:iCs/>
          <w:sz w:val="24"/>
          <w:szCs w:val="24"/>
          <w:lang w:val="fr-FR"/>
        </w:rPr>
      </w:pPr>
      <w:r w:rsidRPr="00D9784E">
        <w:rPr>
          <w:rFonts w:ascii="Times New Roman" w:eastAsia="Times New Roman" w:hAnsi="Times New Roman" w:cs="Times New Roman"/>
          <w:b/>
          <w:bCs/>
          <w:i/>
          <w:iCs/>
          <w:color w:val="000000"/>
          <w:sz w:val="24"/>
          <w:szCs w:val="24"/>
          <w:lang w:val="fr-FR" w:eastAsia="ru-RU"/>
        </w:rPr>
        <w:t xml:space="preserve">Initiative de </w:t>
      </w:r>
      <w:r w:rsidR="00E23C4F">
        <w:rPr>
          <w:rFonts w:ascii="Times New Roman" w:eastAsia="Times New Roman" w:hAnsi="Times New Roman" w:cs="Times New Roman"/>
          <w:b/>
          <w:bCs/>
          <w:i/>
          <w:iCs/>
          <w:color w:val="000000"/>
          <w:sz w:val="24"/>
          <w:szCs w:val="24"/>
          <w:lang w:val="fr-FR" w:eastAsia="ru-RU"/>
        </w:rPr>
        <w:t>«</w:t>
      </w:r>
      <w:r w:rsidRPr="00D9784E">
        <w:rPr>
          <w:rFonts w:ascii="Times New Roman" w:eastAsia="Times New Roman" w:hAnsi="Times New Roman" w:cs="Times New Roman"/>
          <w:b/>
          <w:bCs/>
          <w:i/>
          <w:iCs/>
          <w:color w:val="000000"/>
          <w:sz w:val="24"/>
          <w:szCs w:val="24"/>
          <w:lang w:val="fr-FR" w:eastAsia="ru-RU"/>
        </w:rPr>
        <w:t>Viande de Qurbani</w:t>
      </w:r>
      <w:r w:rsidR="00E23C4F">
        <w:rPr>
          <w:rFonts w:ascii="Times New Roman" w:eastAsia="Times New Roman" w:hAnsi="Times New Roman" w:cs="Times New Roman"/>
          <w:b/>
          <w:bCs/>
          <w:i/>
          <w:iCs/>
          <w:color w:val="000000"/>
          <w:sz w:val="24"/>
          <w:szCs w:val="24"/>
          <w:lang w:val="fr-FR" w:eastAsia="ru-RU"/>
        </w:rPr>
        <w:t>»</w:t>
      </w:r>
    </w:p>
    <w:p w14:paraId="702AA974" w14:textId="068F274A" w:rsidR="00F21A9A" w:rsidRPr="00D9784E" w:rsidRDefault="00D9784E" w:rsidP="00FD5B17">
      <w:pPr>
        <w:pStyle w:val="a3"/>
        <w:spacing w:before="120" w:after="120" w:line="257" w:lineRule="auto"/>
        <w:ind w:left="0"/>
        <w:contextualSpacing w:val="0"/>
        <w:jc w:val="both"/>
        <w:rPr>
          <w:rFonts w:asciiTheme="majorBidi" w:hAnsiTheme="majorBidi" w:cstheme="majorBidi"/>
          <w:sz w:val="24"/>
          <w:szCs w:val="24"/>
          <w:lang w:val="fr-FR"/>
        </w:rPr>
      </w:pPr>
      <w:r w:rsidRPr="00D9784E">
        <w:rPr>
          <w:rFonts w:asciiTheme="majorBidi" w:hAnsiTheme="majorBidi" w:cstheme="majorBidi"/>
          <w:sz w:val="24"/>
          <w:szCs w:val="24"/>
          <w:lang w:val="fr-FR"/>
        </w:rPr>
        <w:t xml:space="preserve">L'Assemblée </w:t>
      </w:r>
      <w:r>
        <w:rPr>
          <w:rFonts w:asciiTheme="majorBidi" w:hAnsiTheme="majorBidi" w:cstheme="majorBidi"/>
          <w:sz w:val="24"/>
          <w:szCs w:val="24"/>
          <w:lang w:val="fr-FR"/>
        </w:rPr>
        <w:t>G</w:t>
      </w:r>
      <w:r w:rsidRPr="00D9784E">
        <w:rPr>
          <w:rFonts w:asciiTheme="majorBidi" w:hAnsiTheme="majorBidi" w:cstheme="majorBidi"/>
          <w:sz w:val="24"/>
          <w:szCs w:val="24"/>
          <w:lang w:val="fr-FR"/>
        </w:rPr>
        <w:t>énérale est invitée à examiner la Note conceptuelle sur cette initiative. Le Secrétariat de l'OISA propose la création d'un système international (plateforme en ligne) intégré au projet de la BID Adahi. Il organisera l'abattage des animaux sacrificiels et la distribution de viande aux personnes dans le besoin dans la région de l'OCI. Cette plate-forme simplifiera et aidera un musulman de n'importe où dans le monde à faire un sacrifice rituel (par exemple, lors de l'Aïd al-Adha, etc.), en déléguant les obligations de l'OISA</w:t>
      </w:r>
      <w:r w:rsidR="00F21A9A" w:rsidRPr="00D9784E">
        <w:rPr>
          <w:rFonts w:asciiTheme="majorBidi" w:hAnsiTheme="majorBidi" w:cstheme="majorBidi"/>
          <w:sz w:val="24"/>
          <w:szCs w:val="24"/>
          <w:lang w:val="fr-FR"/>
        </w:rPr>
        <w:t>.</w:t>
      </w:r>
      <w:r w:rsidR="003D26D0" w:rsidRPr="00D9784E">
        <w:rPr>
          <w:rFonts w:asciiTheme="majorBidi" w:hAnsiTheme="majorBidi" w:cstheme="majorBidi"/>
          <w:sz w:val="24"/>
          <w:szCs w:val="24"/>
          <w:lang w:val="fr-FR"/>
        </w:rPr>
        <w:t xml:space="preserve"> </w:t>
      </w:r>
    </w:p>
    <w:p w14:paraId="402E022E" w14:textId="4C15955D" w:rsidR="00A13654" w:rsidRPr="00D9784E" w:rsidRDefault="00D9784E" w:rsidP="00FD5B17">
      <w:pPr>
        <w:pStyle w:val="a3"/>
        <w:numPr>
          <w:ilvl w:val="0"/>
          <w:numId w:val="15"/>
        </w:numPr>
        <w:spacing w:before="120" w:after="120" w:line="257" w:lineRule="auto"/>
        <w:ind w:left="567" w:hanging="567"/>
        <w:contextualSpacing w:val="0"/>
        <w:rPr>
          <w:rFonts w:asciiTheme="majorBidi" w:hAnsiTheme="majorBidi" w:cstheme="majorBidi"/>
          <w:b/>
          <w:bCs/>
          <w:i/>
          <w:iCs/>
          <w:sz w:val="24"/>
          <w:szCs w:val="24"/>
          <w:lang w:val="en-US"/>
        </w:rPr>
      </w:pPr>
      <w:r w:rsidRPr="00D9784E">
        <w:rPr>
          <w:rFonts w:ascii="Times New Roman" w:eastAsia="Times New Roman" w:hAnsi="Times New Roman" w:cs="Times New Roman"/>
          <w:b/>
          <w:bCs/>
          <w:i/>
          <w:iCs/>
          <w:color w:val="000000"/>
          <w:sz w:val="24"/>
          <w:szCs w:val="24"/>
          <w:lang w:val="en-US" w:eastAsia="ru-RU"/>
        </w:rPr>
        <w:t>Farine pour l’humanité</w:t>
      </w:r>
    </w:p>
    <w:p w14:paraId="70962E59" w14:textId="77777777" w:rsidR="00D9784E" w:rsidRPr="00D9784E" w:rsidRDefault="00D9784E" w:rsidP="00D9784E">
      <w:pPr>
        <w:spacing w:before="120" w:after="120" w:line="257" w:lineRule="auto"/>
        <w:jc w:val="both"/>
        <w:rPr>
          <w:rFonts w:asciiTheme="majorBidi" w:hAnsiTheme="majorBidi" w:cstheme="majorBidi"/>
          <w:sz w:val="24"/>
          <w:szCs w:val="24"/>
          <w:lang w:val="fr-FR"/>
        </w:rPr>
      </w:pPr>
      <w:r w:rsidRPr="00D9784E">
        <w:rPr>
          <w:rFonts w:asciiTheme="majorBidi" w:hAnsiTheme="majorBidi" w:cstheme="majorBidi"/>
          <w:sz w:val="24"/>
          <w:szCs w:val="24"/>
          <w:lang w:val="fr-FR"/>
        </w:rPr>
        <w:t xml:space="preserve">L'un des buts et objectifs statutaires de l'OISA, entre autres, est de déterminer et de fournir l'aide d'urgence et humanitaire nécessaire là où et quand cela est nécessaire. Selon les informations des organisations spécialisées des Nations Unies, l'humanité pourrait faire face à une faim massive en raison de la pandémie de coronavirus. À cet égard, l'OISA lance le programme humanitaire intitulé «Farine pour l'humanité», qui prévoit des dons et une assistance volontaire des pays développés </w:t>
      </w:r>
      <w:r w:rsidRPr="00D9784E">
        <w:rPr>
          <w:rFonts w:asciiTheme="majorBidi" w:hAnsiTheme="majorBidi" w:cstheme="majorBidi"/>
          <w:sz w:val="24"/>
          <w:szCs w:val="24"/>
          <w:lang w:val="fr-FR"/>
        </w:rPr>
        <w:lastRenderedPageBreak/>
        <w:t>membres de l'OCI pour fournir des fournitures humanitaires aux pays membres de l'OCI dans le besoin sous forme de farine de blé.</w:t>
      </w:r>
    </w:p>
    <w:p w14:paraId="2FF0C67B" w14:textId="746DB47B" w:rsidR="001A232B" w:rsidRPr="00D9784E" w:rsidRDefault="00D9784E" w:rsidP="00D9784E">
      <w:pPr>
        <w:spacing w:before="120" w:after="120" w:line="257" w:lineRule="auto"/>
        <w:jc w:val="both"/>
        <w:rPr>
          <w:rFonts w:asciiTheme="majorBidi" w:hAnsiTheme="majorBidi" w:cstheme="majorBidi"/>
          <w:sz w:val="24"/>
          <w:szCs w:val="24"/>
          <w:lang w:val="fr-FR"/>
        </w:rPr>
      </w:pPr>
      <w:r w:rsidRPr="00D9784E">
        <w:rPr>
          <w:rFonts w:asciiTheme="majorBidi" w:hAnsiTheme="majorBidi" w:cstheme="majorBidi"/>
          <w:sz w:val="24"/>
          <w:szCs w:val="24"/>
          <w:lang w:val="fr-FR"/>
        </w:rPr>
        <w:t>L'Assemblée Générale est invitée à examiner les deux programmes humanitaires susmentionnés, leurs structures et mécanismes de mise en œuvre et de charger en outre le Secrétariat de les développer et de les faire progresser.</w:t>
      </w:r>
    </w:p>
    <w:p w14:paraId="146AF2F3" w14:textId="76D2EE3C" w:rsidR="00FD5B17" w:rsidRPr="00D9784E" w:rsidRDefault="00D9784E" w:rsidP="00FD5B17">
      <w:pPr>
        <w:pStyle w:val="a3"/>
        <w:numPr>
          <w:ilvl w:val="0"/>
          <w:numId w:val="2"/>
        </w:numPr>
        <w:spacing w:before="120" w:after="120"/>
        <w:ind w:left="567" w:hanging="567"/>
        <w:contextualSpacing w:val="0"/>
        <w:rPr>
          <w:rFonts w:asciiTheme="majorBidi" w:hAnsiTheme="majorBidi" w:cstheme="majorBidi"/>
          <w:b/>
          <w:bCs/>
          <w:sz w:val="24"/>
          <w:szCs w:val="24"/>
          <w:lang w:val="fr-FR"/>
        </w:rPr>
      </w:pPr>
      <w:r w:rsidRPr="00D9784E">
        <w:rPr>
          <w:rFonts w:ascii="Times New Roman" w:eastAsia="Times New Roman" w:hAnsi="Times New Roman" w:cs="Times New Roman"/>
          <w:b/>
          <w:bCs/>
          <w:color w:val="000000"/>
          <w:sz w:val="24"/>
          <w:szCs w:val="24"/>
          <w:lang w:val="fr-FR" w:eastAsia="ru-RU"/>
        </w:rPr>
        <w:t>Amélioration de la base de données de l'OISA sur le bilan alimentaire</w:t>
      </w:r>
    </w:p>
    <w:p w14:paraId="355B11F2" w14:textId="29205DE8" w:rsidR="00FD5B17" w:rsidRPr="00D9784E" w:rsidRDefault="00D9784E" w:rsidP="00FD5B17">
      <w:pPr>
        <w:spacing w:before="120" w:after="120" w:line="257" w:lineRule="auto"/>
        <w:jc w:val="both"/>
        <w:rPr>
          <w:rFonts w:asciiTheme="majorBidi" w:hAnsiTheme="majorBidi" w:cstheme="majorBidi"/>
          <w:sz w:val="24"/>
          <w:szCs w:val="24"/>
          <w:lang w:val="fr-FR"/>
        </w:rPr>
      </w:pPr>
      <w:r w:rsidRPr="00D9784E">
        <w:rPr>
          <w:rFonts w:asciiTheme="majorBidi" w:hAnsiTheme="majorBidi" w:cstheme="majorBidi"/>
          <w:sz w:val="24"/>
          <w:szCs w:val="24"/>
          <w:lang w:val="fr-FR"/>
        </w:rPr>
        <w:t>Conformément au Plan d'Action N°OIC / GA-IOFS / 2016 / POA adopté par la 1ère Assemblée Générale tenue à Astana (aujourd'hui Nour-Soultan), Kazakhstan du 26 au 28 avril 2016 et à la Résolution N° IOFS / GA / 1-13- 2019 adopté par la 2e Assemblée Générale de l'OISA tenue à Djeddah, en Arabie Saoudite, le Secrétariat a été invité à améliorer les performances de la plate-forme de base de données sur les aliments. La plate-forme de base de données de l'OISA est en cours de création dans le but d'améliorer la collecte de données authentiques auprès des États membres sur les questions de sécurité alimentaire nationale. Dans la même veine, le personnel du Secrétariat est formé aux opérations du portail, tandis que le Secrétariat intensifie sa collaboration avec les institutions statistiques mondiales et régionales, y compris le SESRIC et la FAO, pour le partage et l'échange de données, entre autres</w:t>
      </w:r>
      <w:r w:rsidR="00FD5B17" w:rsidRPr="00D9784E">
        <w:rPr>
          <w:rFonts w:asciiTheme="majorBidi" w:hAnsiTheme="majorBidi" w:cstheme="majorBidi"/>
          <w:sz w:val="24"/>
          <w:szCs w:val="24"/>
          <w:lang w:val="fr-FR"/>
        </w:rPr>
        <w:t>.</w:t>
      </w:r>
    </w:p>
    <w:p w14:paraId="006FEF50" w14:textId="75C44DDB" w:rsidR="00C17578" w:rsidRPr="00D9784E" w:rsidRDefault="00D9784E" w:rsidP="00350F7B">
      <w:pPr>
        <w:pStyle w:val="a3"/>
        <w:numPr>
          <w:ilvl w:val="0"/>
          <w:numId w:val="2"/>
        </w:numPr>
        <w:spacing w:before="120" w:after="120"/>
        <w:ind w:left="567" w:hanging="567"/>
        <w:contextualSpacing w:val="0"/>
        <w:rPr>
          <w:rFonts w:asciiTheme="majorBidi" w:hAnsiTheme="majorBidi" w:cstheme="majorBidi"/>
          <w:b/>
          <w:bCs/>
          <w:sz w:val="24"/>
          <w:szCs w:val="24"/>
          <w:lang w:val="en-US"/>
        </w:rPr>
      </w:pPr>
      <w:r w:rsidRPr="00D9784E">
        <w:rPr>
          <w:rFonts w:ascii="Times New Roman" w:eastAsia="Times New Roman" w:hAnsi="Times New Roman" w:cs="Times New Roman"/>
          <w:b/>
          <w:bCs/>
          <w:color w:val="000000"/>
          <w:sz w:val="24"/>
          <w:szCs w:val="24"/>
          <w:lang w:val="fr-FR" w:eastAsia="ru-RU"/>
        </w:rPr>
        <w:t>Autres questions</w:t>
      </w:r>
    </w:p>
    <w:p w14:paraId="62D35B71" w14:textId="5D51EE1F" w:rsidR="00C17578" w:rsidRPr="00D9784E" w:rsidRDefault="00D9784E" w:rsidP="00FD2F55">
      <w:pPr>
        <w:pStyle w:val="a3"/>
        <w:numPr>
          <w:ilvl w:val="0"/>
          <w:numId w:val="2"/>
        </w:numPr>
        <w:spacing w:before="120" w:after="120"/>
        <w:ind w:left="567" w:hanging="567"/>
        <w:contextualSpacing w:val="0"/>
        <w:rPr>
          <w:rFonts w:asciiTheme="majorBidi" w:hAnsiTheme="majorBidi" w:cstheme="majorBidi"/>
          <w:b/>
          <w:bCs/>
          <w:sz w:val="24"/>
          <w:szCs w:val="24"/>
          <w:lang w:val="fr-FR"/>
        </w:rPr>
      </w:pPr>
      <w:r w:rsidRPr="00D9784E">
        <w:rPr>
          <w:rFonts w:ascii="Times New Roman" w:eastAsia="Times New Roman" w:hAnsi="Times New Roman" w:cs="Times New Roman"/>
          <w:b/>
          <w:bCs/>
          <w:color w:val="000000"/>
          <w:sz w:val="24"/>
          <w:szCs w:val="24"/>
          <w:lang w:val="fr-FR" w:eastAsia="ru-RU"/>
        </w:rPr>
        <w:t>Date et lieu de la 4e Assemblée Générale</w:t>
      </w:r>
    </w:p>
    <w:p w14:paraId="72407453" w14:textId="14DB45BF" w:rsidR="00D94D28" w:rsidRPr="00D9784E" w:rsidRDefault="00D9784E" w:rsidP="00D10290">
      <w:pPr>
        <w:spacing w:before="120" w:after="120"/>
        <w:rPr>
          <w:rFonts w:asciiTheme="majorBidi" w:hAnsiTheme="majorBidi" w:cstheme="majorBidi"/>
          <w:sz w:val="24"/>
          <w:szCs w:val="24"/>
          <w:lang w:val="fr-FR"/>
        </w:rPr>
      </w:pPr>
      <w:r w:rsidRPr="00D9784E">
        <w:rPr>
          <w:rFonts w:asciiTheme="majorBidi" w:hAnsiTheme="majorBidi" w:cstheme="majorBidi"/>
          <w:sz w:val="24"/>
          <w:szCs w:val="24"/>
          <w:lang w:val="fr-FR"/>
        </w:rPr>
        <w:t>Conformément à la Résolution actuelle de l'OISA de convoquer l'Assemblée Générale à tour de rôle tous les deux ans, la prochaine Assemblée Générale doit avoir lieu au Kazakhstan en 2021</w:t>
      </w:r>
      <w:r w:rsidR="00D94D28" w:rsidRPr="00D9784E">
        <w:rPr>
          <w:rFonts w:asciiTheme="majorBidi" w:hAnsiTheme="majorBidi" w:cstheme="majorBidi"/>
          <w:sz w:val="24"/>
          <w:szCs w:val="24"/>
          <w:lang w:val="fr-FR"/>
        </w:rPr>
        <w:t>.</w:t>
      </w:r>
    </w:p>
    <w:p w14:paraId="0D06025C" w14:textId="623F8ACD" w:rsidR="008A0EB0" w:rsidRPr="00D9784E" w:rsidRDefault="008A0EB0" w:rsidP="008A0EB0">
      <w:pPr>
        <w:spacing w:before="120" w:after="120"/>
        <w:rPr>
          <w:rFonts w:asciiTheme="majorBidi" w:hAnsiTheme="majorBidi" w:cstheme="majorBidi"/>
          <w:b/>
          <w:bCs/>
          <w:sz w:val="24"/>
          <w:szCs w:val="24"/>
          <w:lang w:val="fr-FR"/>
        </w:rPr>
      </w:pPr>
      <w:r w:rsidRPr="00D9784E">
        <w:rPr>
          <w:rFonts w:asciiTheme="majorBidi" w:hAnsiTheme="majorBidi" w:cstheme="majorBidi"/>
          <w:b/>
          <w:bCs/>
          <w:sz w:val="24"/>
          <w:szCs w:val="24"/>
          <w:lang w:val="fr-FR"/>
        </w:rPr>
        <w:t>_____________________________________________________________________________</w:t>
      </w:r>
    </w:p>
    <w:p w14:paraId="2E8A0E76" w14:textId="78F39F69" w:rsidR="00D9784E" w:rsidRPr="00D9784E" w:rsidRDefault="00D9784E" w:rsidP="00D9784E">
      <w:pPr>
        <w:spacing w:before="120" w:after="120"/>
        <w:rPr>
          <w:rFonts w:asciiTheme="majorBidi" w:hAnsiTheme="majorBidi" w:cstheme="majorBidi"/>
          <w:b/>
          <w:bCs/>
          <w:sz w:val="24"/>
          <w:szCs w:val="24"/>
          <w:lang w:val="fr-FR"/>
        </w:rPr>
      </w:pPr>
      <w:r w:rsidRPr="00D9784E">
        <w:rPr>
          <w:rFonts w:asciiTheme="majorBidi" w:hAnsiTheme="majorBidi" w:cstheme="majorBidi"/>
          <w:b/>
          <w:bCs/>
          <w:sz w:val="24"/>
          <w:szCs w:val="24"/>
          <w:lang w:val="fr-FR"/>
        </w:rPr>
        <w:t>Secrétariat de l'</w:t>
      </w:r>
      <w:r>
        <w:rPr>
          <w:rFonts w:asciiTheme="majorBidi" w:hAnsiTheme="majorBidi" w:cstheme="majorBidi"/>
          <w:b/>
          <w:bCs/>
          <w:sz w:val="24"/>
          <w:szCs w:val="24"/>
          <w:lang w:val="fr-FR"/>
        </w:rPr>
        <w:t>OISA</w:t>
      </w:r>
    </w:p>
    <w:p w14:paraId="06A03E6C" w14:textId="2E079EF4" w:rsidR="00C17578" w:rsidRPr="00D9784E" w:rsidRDefault="00D9784E" w:rsidP="00D9784E">
      <w:pPr>
        <w:spacing w:before="120" w:after="120"/>
        <w:rPr>
          <w:rFonts w:asciiTheme="majorBidi" w:hAnsiTheme="majorBidi" w:cstheme="majorBidi"/>
          <w:sz w:val="24"/>
          <w:szCs w:val="24"/>
          <w:lang w:val="fr-FR"/>
        </w:rPr>
      </w:pPr>
      <w:r w:rsidRPr="00D9784E">
        <w:rPr>
          <w:rFonts w:asciiTheme="majorBidi" w:hAnsiTheme="majorBidi" w:cstheme="majorBidi"/>
          <w:b/>
          <w:bCs/>
          <w:sz w:val="24"/>
          <w:szCs w:val="24"/>
          <w:lang w:val="fr-FR"/>
        </w:rPr>
        <w:t>N</w:t>
      </w:r>
      <w:r>
        <w:rPr>
          <w:rFonts w:asciiTheme="majorBidi" w:hAnsiTheme="majorBidi" w:cstheme="majorBidi"/>
          <w:b/>
          <w:bCs/>
          <w:sz w:val="24"/>
          <w:szCs w:val="24"/>
          <w:lang w:val="fr-FR"/>
        </w:rPr>
        <w:t>o</w:t>
      </w:r>
      <w:r w:rsidRPr="00D9784E">
        <w:rPr>
          <w:rFonts w:asciiTheme="majorBidi" w:hAnsiTheme="majorBidi" w:cstheme="majorBidi"/>
          <w:b/>
          <w:bCs/>
          <w:sz w:val="24"/>
          <w:szCs w:val="24"/>
          <w:lang w:val="fr-FR"/>
        </w:rPr>
        <w:t>ur</w:t>
      </w:r>
      <w:r>
        <w:rPr>
          <w:rFonts w:asciiTheme="majorBidi" w:hAnsiTheme="majorBidi" w:cstheme="majorBidi"/>
          <w:b/>
          <w:bCs/>
          <w:sz w:val="24"/>
          <w:szCs w:val="24"/>
          <w:lang w:val="fr-FR"/>
        </w:rPr>
        <w:t>-</w:t>
      </w:r>
      <w:r w:rsidRPr="00D9784E">
        <w:rPr>
          <w:rFonts w:asciiTheme="majorBidi" w:hAnsiTheme="majorBidi" w:cstheme="majorBidi"/>
          <w:b/>
          <w:bCs/>
          <w:sz w:val="24"/>
          <w:szCs w:val="24"/>
          <w:lang w:val="fr-FR"/>
        </w:rPr>
        <w:t>S</w:t>
      </w:r>
      <w:r>
        <w:rPr>
          <w:rFonts w:asciiTheme="majorBidi" w:hAnsiTheme="majorBidi" w:cstheme="majorBidi"/>
          <w:b/>
          <w:bCs/>
          <w:sz w:val="24"/>
          <w:szCs w:val="24"/>
          <w:lang w:val="fr-FR"/>
        </w:rPr>
        <w:t>o</w:t>
      </w:r>
      <w:r w:rsidRPr="00D9784E">
        <w:rPr>
          <w:rFonts w:asciiTheme="majorBidi" w:hAnsiTheme="majorBidi" w:cstheme="majorBidi"/>
          <w:b/>
          <w:bCs/>
          <w:sz w:val="24"/>
          <w:szCs w:val="24"/>
          <w:lang w:val="fr-FR"/>
        </w:rPr>
        <w:t xml:space="preserve">ultan, </w:t>
      </w:r>
      <w:r>
        <w:rPr>
          <w:rFonts w:asciiTheme="majorBidi" w:hAnsiTheme="majorBidi" w:cstheme="majorBidi"/>
          <w:b/>
          <w:bCs/>
          <w:sz w:val="24"/>
          <w:szCs w:val="24"/>
          <w:lang w:val="fr-FR"/>
        </w:rPr>
        <w:t xml:space="preserve">le </w:t>
      </w:r>
      <w:r w:rsidRPr="00D9784E">
        <w:rPr>
          <w:rFonts w:asciiTheme="majorBidi" w:hAnsiTheme="majorBidi" w:cstheme="majorBidi"/>
          <w:b/>
          <w:bCs/>
          <w:sz w:val="24"/>
          <w:szCs w:val="24"/>
          <w:lang w:val="fr-FR"/>
        </w:rPr>
        <w:t>28 octobre 2020</w:t>
      </w:r>
      <w:r w:rsidR="007E1EAC" w:rsidRPr="00D9784E">
        <w:rPr>
          <w:rFonts w:asciiTheme="majorBidi" w:hAnsiTheme="majorBidi" w:cstheme="majorBidi"/>
          <w:b/>
          <w:bCs/>
          <w:sz w:val="24"/>
          <w:szCs w:val="24"/>
          <w:lang w:val="fr-FR"/>
        </w:rPr>
        <w:t xml:space="preserve"> </w:t>
      </w:r>
    </w:p>
    <w:sectPr w:rsidR="00C17578" w:rsidRPr="00D9784E" w:rsidSect="00385C3F">
      <w:footerReference w:type="default" r:id="rId8"/>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EA6D9" w14:textId="77777777" w:rsidR="00AB41D6" w:rsidRDefault="00AB41D6" w:rsidP="00385C3F">
      <w:pPr>
        <w:spacing w:after="0" w:line="240" w:lineRule="auto"/>
      </w:pPr>
      <w:r>
        <w:separator/>
      </w:r>
    </w:p>
  </w:endnote>
  <w:endnote w:type="continuationSeparator" w:id="0">
    <w:p w14:paraId="38580DE5" w14:textId="77777777" w:rsidR="00AB41D6" w:rsidRDefault="00AB41D6" w:rsidP="00385C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111943"/>
      <w:docPartObj>
        <w:docPartGallery w:val="Page Numbers (Bottom of Page)"/>
        <w:docPartUnique/>
      </w:docPartObj>
    </w:sdtPr>
    <w:sdtEndPr/>
    <w:sdtContent>
      <w:p w14:paraId="37FC929C" w14:textId="1528C812" w:rsidR="00385C3F" w:rsidRDefault="00385C3F">
        <w:pPr>
          <w:pStyle w:val="a8"/>
          <w:jc w:val="right"/>
        </w:pPr>
        <w:r>
          <w:fldChar w:fldCharType="begin"/>
        </w:r>
        <w:r>
          <w:instrText>PAGE   \* MERGEFORMAT</w:instrText>
        </w:r>
        <w:r>
          <w:fldChar w:fldCharType="separate"/>
        </w:r>
        <w:r w:rsidR="00EA0FD0" w:rsidRPr="00EA0FD0">
          <w:rPr>
            <w:noProof/>
            <w:lang w:val="ru-RU"/>
          </w:rPr>
          <w:t>5</w:t>
        </w:r>
        <w:r>
          <w:fldChar w:fldCharType="end"/>
        </w:r>
      </w:p>
    </w:sdtContent>
  </w:sdt>
  <w:p w14:paraId="398F340E" w14:textId="77777777" w:rsidR="00385C3F" w:rsidRDefault="00385C3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5EC2F" w14:textId="77777777" w:rsidR="00AB41D6" w:rsidRDefault="00AB41D6" w:rsidP="00385C3F">
      <w:pPr>
        <w:spacing w:after="0" w:line="240" w:lineRule="auto"/>
      </w:pPr>
      <w:r>
        <w:separator/>
      </w:r>
    </w:p>
  </w:footnote>
  <w:footnote w:type="continuationSeparator" w:id="0">
    <w:p w14:paraId="6185825E" w14:textId="77777777" w:rsidR="00AB41D6" w:rsidRDefault="00AB41D6" w:rsidP="00385C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E1590"/>
    <w:multiLevelType w:val="hybridMultilevel"/>
    <w:tmpl w:val="7632F8FC"/>
    <w:lvl w:ilvl="0" w:tplc="9ED60E14">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07C11D0A"/>
    <w:multiLevelType w:val="hybridMultilevel"/>
    <w:tmpl w:val="9C5E3412"/>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4401AAB"/>
    <w:multiLevelType w:val="hybridMultilevel"/>
    <w:tmpl w:val="00169C38"/>
    <w:lvl w:ilvl="0" w:tplc="94BA1318">
      <w:start w:val="1"/>
      <w:numFmt w:val="lowerLetter"/>
      <w:lvlText w:val="(%1)"/>
      <w:lvlJc w:val="left"/>
      <w:pPr>
        <w:ind w:left="1080" w:hanging="360"/>
      </w:pPr>
      <w:rPr>
        <w:rFonts w:hint="default"/>
        <w:b/>
        <w:bCs/>
        <w:i/>
        <w:i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F9D7790"/>
    <w:multiLevelType w:val="hybridMultilevel"/>
    <w:tmpl w:val="31968D2A"/>
    <w:lvl w:ilvl="0" w:tplc="3FBEC476">
      <w:start w:val="1"/>
      <w:numFmt w:val="lowerLetter"/>
      <w:lvlText w:val="(%1)"/>
      <w:lvlJc w:val="left"/>
      <w:pPr>
        <w:ind w:left="720" w:hanging="360"/>
      </w:pPr>
      <w:rPr>
        <w:rFonts w:hint="default"/>
        <w:b/>
        <w:bCs/>
        <w:i/>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2694866"/>
    <w:multiLevelType w:val="hybridMultilevel"/>
    <w:tmpl w:val="5A108518"/>
    <w:lvl w:ilvl="0" w:tplc="20000017">
      <w:start w:val="1"/>
      <w:numFmt w:val="lowerLetter"/>
      <w:lvlText w:val="%1)"/>
      <w:lvlJc w:val="left"/>
      <w:pPr>
        <w:ind w:left="1854" w:hanging="360"/>
      </w:pPr>
    </w:lvl>
    <w:lvl w:ilvl="1" w:tplc="20000019" w:tentative="1">
      <w:start w:val="1"/>
      <w:numFmt w:val="lowerLetter"/>
      <w:lvlText w:val="%2."/>
      <w:lvlJc w:val="left"/>
      <w:pPr>
        <w:ind w:left="2574" w:hanging="360"/>
      </w:pPr>
    </w:lvl>
    <w:lvl w:ilvl="2" w:tplc="2000001B" w:tentative="1">
      <w:start w:val="1"/>
      <w:numFmt w:val="lowerRoman"/>
      <w:lvlText w:val="%3."/>
      <w:lvlJc w:val="right"/>
      <w:pPr>
        <w:ind w:left="3294" w:hanging="180"/>
      </w:pPr>
    </w:lvl>
    <w:lvl w:ilvl="3" w:tplc="2000000F" w:tentative="1">
      <w:start w:val="1"/>
      <w:numFmt w:val="decimal"/>
      <w:lvlText w:val="%4."/>
      <w:lvlJc w:val="left"/>
      <w:pPr>
        <w:ind w:left="4014" w:hanging="360"/>
      </w:pPr>
    </w:lvl>
    <w:lvl w:ilvl="4" w:tplc="20000019" w:tentative="1">
      <w:start w:val="1"/>
      <w:numFmt w:val="lowerLetter"/>
      <w:lvlText w:val="%5."/>
      <w:lvlJc w:val="left"/>
      <w:pPr>
        <w:ind w:left="4734" w:hanging="360"/>
      </w:pPr>
    </w:lvl>
    <w:lvl w:ilvl="5" w:tplc="2000001B" w:tentative="1">
      <w:start w:val="1"/>
      <w:numFmt w:val="lowerRoman"/>
      <w:lvlText w:val="%6."/>
      <w:lvlJc w:val="right"/>
      <w:pPr>
        <w:ind w:left="5454" w:hanging="180"/>
      </w:pPr>
    </w:lvl>
    <w:lvl w:ilvl="6" w:tplc="2000000F" w:tentative="1">
      <w:start w:val="1"/>
      <w:numFmt w:val="decimal"/>
      <w:lvlText w:val="%7."/>
      <w:lvlJc w:val="left"/>
      <w:pPr>
        <w:ind w:left="6174" w:hanging="360"/>
      </w:pPr>
    </w:lvl>
    <w:lvl w:ilvl="7" w:tplc="20000019" w:tentative="1">
      <w:start w:val="1"/>
      <w:numFmt w:val="lowerLetter"/>
      <w:lvlText w:val="%8."/>
      <w:lvlJc w:val="left"/>
      <w:pPr>
        <w:ind w:left="6894" w:hanging="360"/>
      </w:pPr>
    </w:lvl>
    <w:lvl w:ilvl="8" w:tplc="2000001B" w:tentative="1">
      <w:start w:val="1"/>
      <w:numFmt w:val="lowerRoman"/>
      <w:lvlText w:val="%9."/>
      <w:lvlJc w:val="right"/>
      <w:pPr>
        <w:ind w:left="7614" w:hanging="180"/>
      </w:pPr>
    </w:lvl>
  </w:abstractNum>
  <w:abstractNum w:abstractNumId="5" w15:restartNumberingAfterBreak="0">
    <w:nsid w:val="305B500D"/>
    <w:multiLevelType w:val="hybridMultilevel"/>
    <w:tmpl w:val="BA6E8432"/>
    <w:lvl w:ilvl="0" w:tplc="577A481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BE7844"/>
    <w:multiLevelType w:val="hybridMultilevel"/>
    <w:tmpl w:val="943680BE"/>
    <w:lvl w:ilvl="0" w:tplc="572EFE8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0680874"/>
    <w:multiLevelType w:val="hybridMultilevel"/>
    <w:tmpl w:val="6C705E0C"/>
    <w:lvl w:ilvl="0" w:tplc="94BA1318">
      <w:start w:val="1"/>
      <w:numFmt w:val="lowerLetter"/>
      <w:lvlText w:val="(%1)"/>
      <w:lvlJc w:val="left"/>
      <w:pPr>
        <w:ind w:left="720" w:hanging="360"/>
      </w:pPr>
      <w:rPr>
        <w:rFonts w:hint="default"/>
        <w:b/>
        <w:bCs/>
        <w:i/>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2F66C54"/>
    <w:multiLevelType w:val="hybridMultilevel"/>
    <w:tmpl w:val="544432D6"/>
    <w:lvl w:ilvl="0" w:tplc="B742FE84">
      <w:start w:val="1"/>
      <w:numFmt w:val="decimal"/>
      <w:lvlText w:val="(%1)"/>
      <w:lvlJc w:val="left"/>
      <w:pPr>
        <w:ind w:left="720" w:hanging="360"/>
      </w:pPr>
      <w:rPr>
        <w:rFonts w:hint="default"/>
        <w:b/>
        <w:bCs/>
        <w:i w:val="0"/>
        <w:iCs w:val="0"/>
      </w:rPr>
    </w:lvl>
    <w:lvl w:ilvl="1" w:tplc="E92E3564">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D862486"/>
    <w:multiLevelType w:val="hybridMultilevel"/>
    <w:tmpl w:val="B5BEAE82"/>
    <w:lvl w:ilvl="0" w:tplc="20000017">
      <w:start w:val="1"/>
      <w:numFmt w:val="lowerLetter"/>
      <w:lvlText w:val="%1)"/>
      <w:lvlJc w:val="left"/>
      <w:pPr>
        <w:ind w:left="1287" w:hanging="360"/>
      </w:pPr>
    </w:lvl>
    <w:lvl w:ilvl="1" w:tplc="20000019">
      <w:start w:val="1"/>
      <w:numFmt w:val="lowerLetter"/>
      <w:lvlText w:val="%2."/>
      <w:lvlJc w:val="left"/>
      <w:pPr>
        <w:ind w:left="2007" w:hanging="360"/>
      </w:pPr>
    </w:lvl>
    <w:lvl w:ilvl="2" w:tplc="2000001B">
      <w:start w:val="1"/>
      <w:numFmt w:val="lowerRoman"/>
      <w:lvlText w:val="%3."/>
      <w:lvlJc w:val="right"/>
      <w:pPr>
        <w:ind w:left="2727" w:hanging="180"/>
      </w:pPr>
    </w:lvl>
    <w:lvl w:ilvl="3" w:tplc="2000000F">
      <w:start w:val="1"/>
      <w:numFmt w:val="decimal"/>
      <w:lvlText w:val="%4."/>
      <w:lvlJc w:val="left"/>
      <w:pPr>
        <w:ind w:left="3447" w:hanging="360"/>
      </w:pPr>
    </w:lvl>
    <w:lvl w:ilvl="4" w:tplc="20000019">
      <w:start w:val="1"/>
      <w:numFmt w:val="lowerLetter"/>
      <w:lvlText w:val="%5."/>
      <w:lvlJc w:val="left"/>
      <w:pPr>
        <w:ind w:left="4167" w:hanging="360"/>
      </w:pPr>
    </w:lvl>
    <w:lvl w:ilvl="5" w:tplc="2000001B">
      <w:start w:val="1"/>
      <w:numFmt w:val="lowerRoman"/>
      <w:lvlText w:val="%6."/>
      <w:lvlJc w:val="right"/>
      <w:pPr>
        <w:ind w:left="4887" w:hanging="180"/>
      </w:pPr>
    </w:lvl>
    <w:lvl w:ilvl="6" w:tplc="2000000F">
      <w:start w:val="1"/>
      <w:numFmt w:val="decimal"/>
      <w:lvlText w:val="%7."/>
      <w:lvlJc w:val="left"/>
      <w:pPr>
        <w:ind w:left="5607" w:hanging="360"/>
      </w:pPr>
    </w:lvl>
    <w:lvl w:ilvl="7" w:tplc="20000019">
      <w:start w:val="1"/>
      <w:numFmt w:val="lowerLetter"/>
      <w:lvlText w:val="%8."/>
      <w:lvlJc w:val="left"/>
      <w:pPr>
        <w:ind w:left="6327" w:hanging="360"/>
      </w:pPr>
    </w:lvl>
    <w:lvl w:ilvl="8" w:tplc="2000001B">
      <w:start w:val="1"/>
      <w:numFmt w:val="lowerRoman"/>
      <w:lvlText w:val="%9."/>
      <w:lvlJc w:val="right"/>
      <w:pPr>
        <w:ind w:left="7047" w:hanging="180"/>
      </w:pPr>
    </w:lvl>
  </w:abstractNum>
  <w:abstractNum w:abstractNumId="10" w15:restartNumberingAfterBreak="0">
    <w:nsid w:val="635E6A04"/>
    <w:multiLevelType w:val="hybridMultilevel"/>
    <w:tmpl w:val="D00010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3A20F45"/>
    <w:multiLevelType w:val="hybridMultilevel"/>
    <w:tmpl w:val="6896B568"/>
    <w:lvl w:ilvl="0" w:tplc="F3FCABBC">
      <w:start w:val="1"/>
      <w:numFmt w:val="lowerLetter"/>
      <w:lvlText w:val="(%1)"/>
      <w:lvlJc w:val="left"/>
      <w:pPr>
        <w:ind w:left="720" w:hanging="360"/>
      </w:pPr>
      <w:rPr>
        <w:rFonts w:hint="default"/>
        <w:b/>
        <w:bCs/>
        <w:i/>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A850FE4"/>
    <w:multiLevelType w:val="hybridMultilevel"/>
    <w:tmpl w:val="AE36E528"/>
    <w:lvl w:ilvl="0" w:tplc="577A4812">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6"/>
  </w:num>
  <w:num w:numId="2">
    <w:abstractNumId w:val="8"/>
  </w:num>
  <w:num w:numId="3">
    <w:abstractNumId w:val="2"/>
  </w:num>
  <w:num w:numId="4">
    <w:abstractNumId w:val="0"/>
  </w:num>
  <w:num w:numId="5">
    <w:abstractNumId w:val="5"/>
  </w:num>
  <w:num w:numId="6">
    <w:abstractNumId w:val="10"/>
  </w:num>
  <w:num w:numId="7">
    <w:abstractNumId w:val="1"/>
  </w:num>
  <w:num w:numId="8">
    <w:abstractNumId w:val="12"/>
  </w:num>
  <w:num w:numId="9">
    <w:abstractNumId w:val="11"/>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tjQyNTYyNzMxszRW0lEKTi0uzszPAykwrAUABQelLCwAAAA="/>
  </w:docVars>
  <w:rsids>
    <w:rsidRoot w:val="00C17578"/>
    <w:rsid w:val="000642F7"/>
    <w:rsid w:val="000650D5"/>
    <w:rsid w:val="000A7FB2"/>
    <w:rsid w:val="000B1666"/>
    <w:rsid w:val="000C0F9B"/>
    <w:rsid w:val="000E5739"/>
    <w:rsid w:val="000F5BE1"/>
    <w:rsid w:val="000F6D0A"/>
    <w:rsid w:val="001171EE"/>
    <w:rsid w:val="00145948"/>
    <w:rsid w:val="00165F70"/>
    <w:rsid w:val="001765D7"/>
    <w:rsid w:val="001A232B"/>
    <w:rsid w:val="001B3D71"/>
    <w:rsid w:val="001E150F"/>
    <w:rsid w:val="0020773F"/>
    <w:rsid w:val="002348AD"/>
    <w:rsid w:val="00237D89"/>
    <w:rsid w:val="00242A9D"/>
    <w:rsid w:val="002A0F8A"/>
    <w:rsid w:val="002C1874"/>
    <w:rsid w:val="002C7264"/>
    <w:rsid w:val="00300871"/>
    <w:rsid w:val="00306293"/>
    <w:rsid w:val="00350F7B"/>
    <w:rsid w:val="003708D5"/>
    <w:rsid w:val="003824DB"/>
    <w:rsid w:val="003830F5"/>
    <w:rsid w:val="00385C3F"/>
    <w:rsid w:val="003D26D0"/>
    <w:rsid w:val="003D7EB0"/>
    <w:rsid w:val="003E23D3"/>
    <w:rsid w:val="003F14A5"/>
    <w:rsid w:val="0042795E"/>
    <w:rsid w:val="00435445"/>
    <w:rsid w:val="00440AFC"/>
    <w:rsid w:val="0049365D"/>
    <w:rsid w:val="004F2371"/>
    <w:rsid w:val="004F5D15"/>
    <w:rsid w:val="00536A11"/>
    <w:rsid w:val="005868D7"/>
    <w:rsid w:val="005E3CB9"/>
    <w:rsid w:val="00603034"/>
    <w:rsid w:val="00632C91"/>
    <w:rsid w:val="00632D44"/>
    <w:rsid w:val="0065253A"/>
    <w:rsid w:val="00680DE1"/>
    <w:rsid w:val="00681883"/>
    <w:rsid w:val="006974B0"/>
    <w:rsid w:val="006A4D3A"/>
    <w:rsid w:val="006C7681"/>
    <w:rsid w:val="00702E04"/>
    <w:rsid w:val="00712066"/>
    <w:rsid w:val="007171D6"/>
    <w:rsid w:val="007637C3"/>
    <w:rsid w:val="007D5C97"/>
    <w:rsid w:val="007E1EAC"/>
    <w:rsid w:val="007F12F7"/>
    <w:rsid w:val="007F6C43"/>
    <w:rsid w:val="00807672"/>
    <w:rsid w:val="008224EF"/>
    <w:rsid w:val="00836DD4"/>
    <w:rsid w:val="008608C1"/>
    <w:rsid w:val="00880607"/>
    <w:rsid w:val="008851AF"/>
    <w:rsid w:val="008A0B10"/>
    <w:rsid w:val="008A0EB0"/>
    <w:rsid w:val="008B478A"/>
    <w:rsid w:val="008C4577"/>
    <w:rsid w:val="008D4666"/>
    <w:rsid w:val="008D520E"/>
    <w:rsid w:val="008E4663"/>
    <w:rsid w:val="00907CAA"/>
    <w:rsid w:val="00907E61"/>
    <w:rsid w:val="009419D7"/>
    <w:rsid w:val="009E118B"/>
    <w:rsid w:val="00A0166D"/>
    <w:rsid w:val="00A06A43"/>
    <w:rsid w:val="00A13654"/>
    <w:rsid w:val="00A27BB0"/>
    <w:rsid w:val="00A30F47"/>
    <w:rsid w:val="00A56BB3"/>
    <w:rsid w:val="00A66831"/>
    <w:rsid w:val="00A768A9"/>
    <w:rsid w:val="00A94DA9"/>
    <w:rsid w:val="00AB068D"/>
    <w:rsid w:val="00AB07AB"/>
    <w:rsid w:val="00AB41D6"/>
    <w:rsid w:val="00AD293B"/>
    <w:rsid w:val="00B15BCA"/>
    <w:rsid w:val="00B56D50"/>
    <w:rsid w:val="00B616FC"/>
    <w:rsid w:val="00B65134"/>
    <w:rsid w:val="00B832BD"/>
    <w:rsid w:val="00B85E2C"/>
    <w:rsid w:val="00BA5D3A"/>
    <w:rsid w:val="00BB04DA"/>
    <w:rsid w:val="00C1287D"/>
    <w:rsid w:val="00C15AD4"/>
    <w:rsid w:val="00C17578"/>
    <w:rsid w:val="00C30EC0"/>
    <w:rsid w:val="00C438D0"/>
    <w:rsid w:val="00C46A18"/>
    <w:rsid w:val="00C60484"/>
    <w:rsid w:val="00C624EE"/>
    <w:rsid w:val="00CB3BCD"/>
    <w:rsid w:val="00CD0EB7"/>
    <w:rsid w:val="00CD43D7"/>
    <w:rsid w:val="00CF4C2F"/>
    <w:rsid w:val="00D10290"/>
    <w:rsid w:val="00D50501"/>
    <w:rsid w:val="00D737DD"/>
    <w:rsid w:val="00D94D28"/>
    <w:rsid w:val="00D9784E"/>
    <w:rsid w:val="00DB5916"/>
    <w:rsid w:val="00DC2D28"/>
    <w:rsid w:val="00DC4D62"/>
    <w:rsid w:val="00DD4319"/>
    <w:rsid w:val="00DE3CAB"/>
    <w:rsid w:val="00E23C4F"/>
    <w:rsid w:val="00E406C7"/>
    <w:rsid w:val="00E50139"/>
    <w:rsid w:val="00E61863"/>
    <w:rsid w:val="00E66547"/>
    <w:rsid w:val="00E8422A"/>
    <w:rsid w:val="00E87DAA"/>
    <w:rsid w:val="00EA0FD0"/>
    <w:rsid w:val="00EC6D90"/>
    <w:rsid w:val="00ED7CD0"/>
    <w:rsid w:val="00F05BF9"/>
    <w:rsid w:val="00F21A9A"/>
    <w:rsid w:val="00F4688E"/>
    <w:rsid w:val="00F9304C"/>
    <w:rsid w:val="00F9312F"/>
    <w:rsid w:val="00FA41BD"/>
    <w:rsid w:val="00FB0375"/>
    <w:rsid w:val="00FD2F55"/>
    <w:rsid w:val="00FD5B17"/>
    <w:rsid w:val="00FF19E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58871"/>
  <w15:chartTrackingRefBased/>
  <w15:docId w15:val="{34316155-4D69-4BD4-9D14-06D95C305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D9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17578"/>
    <w:pPr>
      <w:ind w:left="720"/>
      <w:contextualSpacing/>
    </w:pPr>
  </w:style>
  <w:style w:type="paragraph" w:styleId="a4">
    <w:name w:val="Balloon Text"/>
    <w:basedOn w:val="a"/>
    <w:link w:val="a5"/>
    <w:uiPriority w:val="99"/>
    <w:semiHidden/>
    <w:unhideWhenUsed/>
    <w:rsid w:val="0030629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06293"/>
    <w:rPr>
      <w:rFonts w:ascii="Segoe UI" w:hAnsi="Segoe UI" w:cs="Segoe UI"/>
      <w:sz w:val="18"/>
      <w:szCs w:val="18"/>
    </w:rPr>
  </w:style>
  <w:style w:type="paragraph" w:styleId="a6">
    <w:name w:val="header"/>
    <w:basedOn w:val="a"/>
    <w:link w:val="a7"/>
    <w:uiPriority w:val="99"/>
    <w:unhideWhenUsed/>
    <w:rsid w:val="00385C3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85C3F"/>
  </w:style>
  <w:style w:type="paragraph" w:styleId="a8">
    <w:name w:val="footer"/>
    <w:basedOn w:val="a"/>
    <w:link w:val="a9"/>
    <w:uiPriority w:val="99"/>
    <w:unhideWhenUsed/>
    <w:rsid w:val="00385C3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85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0001028">
      <w:bodyDiv w:val="1"/>
      <w:marLeft w:val="0"/>
      <w:marRight w:val="0"/>
      <w:marTop w:val="0"/>
      <w:marBottom w:val="0"/>
      <w:divBdr>
        <w:top w:val="none" w:sz="0" w:space="0" w:color="auto"/>
        <w:left w:val="none" w:sz="0" w:space="0" w:color="auto"/>
        <w:bottom w:val="none" w:sz="0" w:space="0" w:color="auto"/>
        <w:right w:val="none" w:sz="0" w:space="0" w:color="auto"/>
      </w:divBdr>
    </w:div>
    <w:div w:id="143243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2188</Words>
  <Characters>12473</Characters>
  <Application>Microsoft Office Word</Application>
  <DocSecurity>0</DocSecurity>
  <Lines>103</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Khamit MR</dc:creator>
  <cp:keywords/>
  <dc:description/>
  <cp:lastModifiedBy>User</cp:lastModifiedBy>
  <cp:revision>5</cp:revision>
  <cp:lastPrinted>2020-10-20T06:36:00Z</cp:lastPrinted>
  <dcterms:created xsi:type="dcterms:W3CDTF">2020-10-20T07:55:00Z</dcterms:created>
  <dcterms:modified xsi:type="dcterms:W3CDTF">2020-11-06T12:29:00Z</dcterms:modified>
</cp:coreProperties>
</file>